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1A6EFD" w14:paraId="3022CDF6" w14:textId="77777777" w:rsidTr="001A6EFD">
        <w:tc>
          <w:tcPr>
            <w:tcW w:w="9016" w:type="dxa"/>
            <w:shd w:val="clear" w:color="auto" w:fill="00B0F0"/>
          </w:tcPr>
          <w:p w14:paraId="19E3EBDC" w14:textId="61EC8F9D" w:rsidR="00D26B6F" w:rsidRDefault="00D26B6F" w:rsidP="00D26B6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D541A">
              <w:rPr>
                <w:b/>
                <w:bCs/>
                <w:sz w:val="28"/>
                <w:szCs w:val="28"/>
              </w:rPr>
              <w:t xml:space="preserve">TEMPORIS </w:t>
            </w:r>
            <w:r w:rsidR="002D1BEA">
              <w:rPr>
                <w:b/>
                <w:bCs/>
                <w:sz w:val="28"/>
                <w:szCs w:val="28"/>
              </w:rPr>
              <w:t xml:space="preserve">INVESTMENT MANAGEMENT LIMITED </w:t>
            </w:r>
          </w:p>
          <w:p w14:paraId="4B4E593B" w14:textId="77777777" w:rsidR="00741E77" w:rsidRDefault="00741E77" w:rsidP="00D26B6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033D5E3" w14:textId="17C210D7" w:rsidR="001809E6" w:rsidRDefault="002D1BEA" w:rsidP="00D26B6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SUSTAINABLE FINANCE </w:t>
            </w:r>
            <w:r w:rsidR="001809E6">
              <w:rPr>
                <w:b/>
                <w:bCs/>
                <w:sz w:val="28"/>
                <w:szCs w:val="28"/>
              </w:rPr>
              <w:t>DISCLO</w:t>
            </w:r>
            <w:r w:rsidR="00ED41CB">
              <w:rPr>
                <w:b/>
                <w:bCs/>
                <w:sz w:val="28"/>
                <w:szCs w:val="28"/>
              </w:rPr>
              <w:t>S</w:t>
            </w:r>
            <w:r w:rsidR="001809E6">
              <w:rPr>
                <w:b/>
                <w:bCs/>
                <w:sz w:val="28"/>
                <w:szCs w:val="28"/>
              </w:rPr>
              <w:t xml:space="preserve">URE REGULATION </w:t>
            </w:r>
          </w:p>
          <w:p w14:paraId="3C29153D" w14:textId="77777777" w:rsidR="001A6EFD" w:rsidRDefault="001809E6" w:rsidP="00A40EB1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WEBSITE S</w:t>
            </w:r>
            <w:r w:rsidR="00D26B6F">
              <w:rPr>
                <w:b/>
                <w:bCs/>
                <w:sz w:val="28"/>
                <w:szCs w:val="28"/>
              </w:rPr>
              <w:t>TATEMENT</w:t>
            </w:r>
          </w:p>
          <w:p w14:paraId="533EED4F" w14:textId="1D896D0C" w:rsidR="00D309FF" w:rsidRDefault="00D309FF" w:rsidP="00A40EB1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D6C894E" w14:textId="77777777" w:rsidR="00741E77" w:rsidRDefault="00741E77" w:rsidP="004620F6">
      <w:pPr>
        <w:jc w:val="both"/>
        <w:rPr>
          <w:rFonts w:cstheme="minorHAnsi"/>
          <w:u w:val="single"/>
          <w:lang w:val="en-US"/>
        </w:rPr>
      </w:pPr>
    </w:p>
    <w:p w14:paraId="3A1B00DD" w14:textId="77AA5ADB" w:rsidR="00565042" w:rsidRPr="0024617A" w:rsidRDefault="00C2765B" w:rsidP="004620F6">
      <w:pPr>
        <w:jc w:val="both"/>
        <w:rPr>
          <w:rFonts w:cstheme="minorHAnsi"/>
          <w:u w:val="single"/>
          <w:lang w:val="en-US"/>
        </w:rPr>
      </w:pPr>
      <w:r w:rsidRPr="0024617A">
        <w:rPr>
          <w:rFonts w:cstheme="minorHAnsi"/>
          <w:u w:val="single"/>
          <w:lang w:val="en-US"/>
        </w:rPr>
        <w:t>Purpose</w:t>
      </w:r>
    </w:p>
    <w:p w14:paraId="4169EEF7" w14:textId="60B57BB4" w:rsidR="00C2765B" w:rsidRDefault="00C2765B" w:rsidP="004620F6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purpose of this document is to set out the approach </w:t>
      </w:r>
      <w:r w:rsidR="000C449D">
        <w:rPr>
          <w:rFonts w:cstheme="minorHAnsi"/>
          <w:lang w:val="en-US"/>
        </w:rPr>
        <w:t xml:space="preserve">of </w:t>
      </w:r>
      <w:r w:rsidR="000C449D" w:rsidRPr="00002A48">
        <w:rPr>
          <w:rFonts w:cstheme="minorHAnsi"/>
          <w:lang w:val="en-US"/>
        </w:rPr>
        <w:t>Temporis Investment Management Limited (“TIML”)</w:t>
      </w:r>
      <w:r w:rsidR="00D42D11">
        <w:rPr>
          <w:rFonts w:cstheme="minorHAnsi"/>
          <w:lang w:val="en-US"/>
        </w:rPr>
        <w:t xml:space="preserve"> in relation to </w:t>
      </w:r>
      <w:r w:rsidR="00D42D11" w:rsidRPr="00002A48">
        <w:rPr>
          <w:rFonts w:cstheme="minorHAnsi"/>
          <w:lang w:val="en-US"/>
        </w:rPr>
        <w:t xml:space="preserve">the </w:t>
      </w:r>
      <w:r w:rsidR="00D42D11">
        <w:rPr>
          <w:rFonts w:cstheme="minorHAnsi"/>
          <w:lang w:val="en-US"/>
        </w:rPr>
        <w:t xml:space="preserve">EU’s </w:t>
      </w:r>
      <w:r w:rsidR="00D42D11" w:rsidRPr="00002A48">
        <w:rPr>
          <w:rFonts w:cstheme="minorHAnsi"/>
          <w:lang w:val="en-US"/>
        </w:rPr>
        <w:t>Sustainable Finance Disclosure Regulation (“SFDR”)</w:t>
      </w:r>
      <w:r w:rsidR="00D42D11">
        <w:rPr>
          <w:rFonts w:cstheme="minorHAnsi"/>
          <w:lang w:val="en-US"/>
        </w:rPr>
        <w:t>.</w:t>
      </w:r>
    </w:p>
    <w:p w14:paraId="2D57A4FF" w14:textId="133F08E3" w:rsidR="00D42D11" w:rsidRPr="0024617A" w:rsidRDefault="00D42D11" w:rsidP="004620F6">
      <w:pPr>
        <w:jc w:val="both"/>
        <w:rPr>
          <w:rFonts w:cstheme="minorHAnsi"/>
          <w:u w:val="single"/>
          <w:lang w:val="en-US"/>
        </w:rPr>
      </w:pPr>
      <w:r w:rsidRPr="0024617A">
        <w:rPr>
          <w:rFonts w:cstheme="minorHAnsi"/>
          <w:u w:val="single"/>
          <w:lang w:val="en-US"/>
        </w:rPr>
        <w:t>Background</w:t>
      </w:r>
    </w:p>
    <w:p w14:paraId="251355F4" w14:textId="41E6F481" w:rsidR="007F0175" w:rsidRDefault="00E56F29" w:rsidP="004620F6">
      <w:pPr>
        <w:jc w:val="both"/>
        <w:rPr>
          <w:rFonts w:cstheme="minorHAnsi"/>
          <w:lang w:val="en-US"/>
        </w:rPr>
      </w:pPr>
      <w:r w:rsidRPr="00002A48">
        <w:rPr>
          <w:rFonts w:cstheme="minorHAnsi"/>
          <w:lang w:val="en-US"/>
        </w:rPr>
        <w:t>T</w:t>
      </w:r>
      <w:r w:rsidR="00BC58D6" w:rsidRPr="00002A48">
        <w:rPr>
          <w:rFonts w:cstheme="minorHAnsi"/>
          <w:lang w:val="en-US"/>
        </w:rPr>
        <w:t>IML</w:t>
      </w:r>
      <w:r w:rsidR="005B55B8">
        <w:rPr>
          <w:rFonts w:cstheme="minorHAnsi"/>
          <w:lang w:val="en-US"/>
        </w:rPr>
        <w:t xml:space="preserve"> </w:t>
      </w:r>
      <w:r w:rsidR="00985727" w:rsidRPr="00002A48">
        <w:rPr>
          <w:rFonts w:cstheme="minorHAnsi"/>
        </w:rPr>
        <w:t>invest</w:t>
      </w:r>
      <w:r w:rsidR="00985727">
        <w:rPr>
          <w:rFonts w:cstheme="minorHAnsi"/>
        </w:rPr>
        <w:t xml:space="preserve">s </w:t>
      </w:r>
      <w:r w:rsidR="00985727" w:rsidRPr="00002A48">
        <w:rPr>
          <w:rFonts w:cstheme="minorHAnsi"/>
        </w:rPr>
        <w:t>in and manag</w:t>
      </w:r>
      <w:r w:rsidR="00985727">
        <w:rPr>
          <w:rFonts w:cstheme="minorHAnsi"/>
        </w:rPr>
        <w:t>es</w:t>
      </w:r>
      <w:r w:rsidR="00857D4A">
        <w:rPr>
          <w:rFonts w:cstheme="minorHAnsi"/>
        </w:rPr>
        <w:t xml:space="preserve"> on behalf of its clients</w:t>
      </w:r>
      <w:r w:rsidR="003845F8">
        <w:rPr>
          <w:rFonts w:cstheme="minorHAnsi"/>
        </w:rPr>
        <w:t xml:space="preserve">, </w:t>
      </w:r>
      <w:r w:rsidR="00985727" w:rsidRPr="00002A48">
        <w:rPr>
          <w:rFonts w:cstheme="minorHAnsi"/>
        </w:rPr>
        <w:t xml:space="preserve">infrastructure assets </w:t>
      </w:r>
      <w:r w:rsidR="00167BF4" w:rsidRPr="00002A48">
        <w:rPr>
          <w:rFonts w:cstheme="minorHAnsi"/>
          <w:lang w:val="en-US"/>
        </w:rPr>
        <w:t xml:space="preserve">in the </w:t>
      </w:r>
      <w:r w:rsidR="00EA07CD" w:rsidRPr="00002A48">
        <w:rPr>
          <w:rFonts w:cstheme="minorHAnsi"/>
          <w:lang w:val="en-US"/>
        </w:rPr>
        <w:t>renewable energy and clean technology sectors</w:t>
      </w:r>
      <w:r w:rsidR="003845F8">
        <w:rPr>
          <w:rFonts w:cstheme="minorHAnsi"/>
          <w:lang w:val="en-US"/>
        </w:rPr>
        <w:t>.</w:t>
      </w:r>
      <w:r w:rsidR="00EB2157" w:rsidRPr="00002A48">
        <w:rPr>
          <w:rFonts w:cstheme="minorHAnsi"/>
          <w:lang w:val="en-US"/>
        </w:rPr>
        <w:t xml:space="preserve"> </w:t>
      </w:r>
      <w:r w:rsidR="00397B6D" w:rsidRPr="00002A48">
        <w:rPr>
          <w:rFonts w:cstheme="minorHAnsi"/>
          <w:lang w:val="en-US"/>
        </w:rPr>
        <w:t xml:space="preserve"> </w:t>
      </w:r>
    </w:p>
    <w:p w14:paraId="500DFEEB" w14:textId="3FAA2BAD" w:rsidR="00193A10" w:rsidRPr="0024617A" w:rsidRDefault="00FB1080" w:rsidP="004620F6">
      <w:pPr>
        <w:jc w:val="both"/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 xml:space="preserve">ESG </w:t>
      </w:r>
      <w:r w:rsidR="00211B9F">
        <w:rPr>
          <w:rFonts w:cstheme="minorHAnsi"/>
          <w:u w:val="single"/>
          <w:lang w:val="en-US"/>
        </w:rPr>
        <w:t xml:space="preserve">Due Diligence </w:t>
      </w:r>
      <w:r>
        <w:rPr>
          <w:rFonts w:cstheme="minorHAnsi"/>
          <w:u w:val="single"/>
          <w:lang w:val="en-US"/>
        </w:rPr>
        <w:t>&amp; Sustainability Risk Management</w:t>
      </w:r>
    </w:p>
    <w:p w14:paraId="2DFCC9CF" w14:textId="1E4703BB" w:rsidR="00193A10" w:rsidRPr="00002A48" w:rsidRDefault="003F5D3D" w:rsidP="00193A10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TIML’s </w:t>
      </w:r>
      <w:r w:rsidR="00392BF8" w:rsidRPr="00002A48">
        <w:rPr>
          <w:rFonts w:cstheme="minorHAnsi"/>
          <w:lang w:val="en-US"/>
        </w:rPr>
        <w:t xml:space="preserve">approach to </w:t>
      </w:r>
      <w:r w:rsidR="007D6E7B" w:rsidRPr="00002A48">
        <w:rPr>
          <w:rFonts w:cstheme="minorHAnsi"/>
          <w:lang w:val="en-US"/>
        </w:rPr>
        <w:t xml:space="preserve">sustainability </w:t>
      </w:r>
      <w:r w:rsidR="00392BF8" w:rsidRPr="00002A48">
        <w:rPr>
          <w:rFonts w:cstheme="minorHAnsi"/>
          <w:lang w:val="en-US"/>
        </w:rPr>
        <w:t xml:space="preserve">is set out within the Temporis </w:t>
      </w:r>
      <w:r w:rsidR="00F43F44" w:rsidRPr="00002A48">
        <w:rPr>
          <w:rFonts w:cstheme="minorHAnsi"/>
          <w:lang w:val="en-US"/>
        </w:rPr>
        <w:t xml:space="preserve">Group’s </w:t>
      </w:r>
      <w:r w:rsidR="002D4331" w:rsidRPr="00002A48">
        <w:rPr>
          <w:rFonts w:cstheme="minorHAnsi"/>
          <w:lang w:val="en-US"/>
        </w:rPr>
        <w:t xml:space="preserve">ESG Investment Policy contained </w:t>
      </w:r>
      <w:r w:rsidR="005A16F2" w:rsidRPr="00002A48">
        <w:rPr>
          <w:rFonts w:cstheme="minorHAnsi"/>
          <w:lang w:val="en-US"/>
        </w:rPr>
        <w:t xml:space="preserve">on </w:t>
      </w:r>
      <w:r w:rsidR="00353D67">
        <w:rPr>
          <w:rFonts w:cstheme="minorHAnsi"/>
          <w:lang w:val="en-US"/>
        </w:rPr>
        <w:t xml:space="preserve">its </w:t>
      </w:r>
      <w:r w:rsidR="005A16F2" w:rsidRPr="00002A48">
        <w:rPr>
          <w:rFonts w:cstheme="minorHAnsi"/>
          <w:lang w:val="en-US"/>
        </w:rPr>
        <w:t>website.</w:t>
      </w:r>
      <w:r w:rsidR="00F825D1" w:rsidRPr="00002A48">
        <w:rPr>
          <w:rFonts w:cstheme="minorHAnsi"/>
          <w:lang w:val="en-US"/>
        </w:rPr>
        <w:t xml:space="preserve">  </w:t>
      </w:r>
      <w:r w:rsidR="00193A10" w:rsidRPr="00002A48">
        <w:rPr>
          <w:rFonts w:cstheme="minorHAnsi"/>
          <w:lang w:val="en-US"/>
        </w:rPr>
        <w:t>In accordance with the S</w:t>
      </w:r>
      <w:r w:rsidR="004B0C00">
        <w:rPr>
          <w:rFonts w:cstheme="minorHAnsi"/>
          <w:lang w:val="en-US"/>
        </w:rPr>
        <w:t>FDR</w:t>
      </w:r>
      <w:r w:rsidR="00844019">
        <w:rPr>
          <w:rFonts w:cstheme="minorHAnsi"/>
          <w:lang w:val="en-US"/>
        </w:rPr>
        <w:t xml:space="preserve">, </w:t>
      </w:r>
      <w:r w:rsidR="00193A10" w:rsidRPr="00002A48">
        <w:rPr>
          <w:rFonts w:cstheme="minorHAnsi"/>
          <w:lang w:val="en-US"/>
        </w:rPr>
        <w:t xml:space="preserve">the Policy includes sections on </w:t>
      </w:r>
      <w:r w:rsidR="005D53C7">
        <w:rPr>
          <w:rFonts w:cstheme="minorHAnsi"/>
          <w:lang w:val="en-US"/>
        </w:rPr>
        <w:t xml:space="preserve">investment </w:t>
      </w:r>
      <w:r w:rsidR="00193A10" w:rsidRPr="00002A48">
        <w:rPr>
          <w:rFonts w:cstheme="minorHAnsi"/>
          <w:lang w:val="en-US"/>
        </w:rPr>
        <w:t>due diligence and sustainability risk</w:t>
      </w:r>
      <w:r w:rsidR="005D53C7">
        <w:rPr>
          <w:rFonts w:cstheme="minorHAnsi"/>
          <w:lang w:val="en-US"/>
        </w:rPr>
        <w:t xml:space="preserve"> management</w:t>
      </w:r>
      <w:r w:rsidR="00193A10" w:rsidRPr="00002A48">
        <w:rPr>
          <w:rFonts w:cstheme="minorHAnsi"/>
          <w:lang w:val="en-US"/>
        </w:rPr>
        <w:t>.</w:t>
      </w:r>
    </w:p>
    <w:p w14:paraId="77C182D0" w14:textId="50724DB2" w:rsidR="001B2E97" w:rsidRPr="0024617A" w:rsidRDefault="004568EE" w:rsidP="003766B9">
      <w:pPr>
        <w:jc w:val="both"/>
        <w:rPr>
          <w:rFonts w:cstheme="minorHAnsi"/>
          <w:u w:val="single"/>
          <w:lang w:val="en-US"/>
        </w:rPr>
      </w:pPr>
      <w:r w:rsidRPr="0024617A">
        <w:rPr>
          <w:rFonts w:cstheme="minorHAnsi"/>
          <w:u w:val="single"/>
          <w:lang w:val="en-US"/>
        </w:rPr>
        <w:t xml:space="preserve">Fund Disclosure </w:t>
      </w:r>
    </w:p>
    <w:p w14:paraId="585E6DDC" w14:textId="39CA2F1F" w:rsidR="004568EE" w:rsidRPr="00002A48" w:rsidRDefault="004568EE" w:rsidP="004568EE">
      <w:pPr>
        <w:jc w:val="both"/>
        <w:rPr>
          <w:rFonts w:cstheme="minorHAnsi"/>
          <w:lang w:val="en-US"/>
        </w:rPr>
      </w:pPr>
      <w:r w:rsidRPr="00002A48">
        <w:rPr>
          <w:rFonts w:cstheme="minorHAnsi"/>
          <w:lang w:val="en-US"/>
        </w:rPr>
        <w:t xml:space="preserve">The Fund Disclosure </w:t>
      </w:r>
      <w:r>
        <w:rPr>
          <w:rFonts w:cstheme="minorHAnsi"/>
          <w:lang w:val="en-US"/>
        </w:rPr>
        <w:t>D</w:t>
      </w:r>
      <w:r w:rsidRPr="00002A48">
        <w:rPr>
          <w:rFonts w:cstheme="minorHAnsi"/>
          <w:lang w:val="en-US"/>
        </w:rPr>
        <w:t>ocuments required under SFDR are held on th</w:t>
      </w:r>
      <w:r w:rsidR="00FB1080">
        <w:rPr>
          <w:rFonts w:cstheme="minorHAnsi"/>
          <w:lang w:val="en-US"/>
        </w:rPr>
        <w:t xml:space="preserve">e Temporis </w:t>
      </w:r>
      <w:r w:rsidRPr="00002A48">
        <w:rPr>
          <w:rFonts w:cstheme="minorHAnsi"/>
          <w:lang w:val="en-US"/>
        </w:rPr>
        <w:t>website for the following funds managed by TIML:-</w:t>
      </w:r>
    </w:p>
    <w:p w14:paraId="39A96AC3" w14:textId="34C1A098" w:rsidR="004568EE" w:rsidRPr="00002A48" w:rsidRDefault="004568EE" w:rsidP="004568EE">
      <w:pPr>
        <w:pStyle w:val="ListParagraph"/>
        <w:numPr>
          <w:ilvl w:val="0"/>
          <w:numId w:val="15"/>
        </w:numPr>
        <w:jc w:val="both"/>
        <w:rPr>
          <w:rFonts w:cstheme="minorHAnsi"/>
          <w:lang w:val="en-US"/>
        </w:rPr>
      </w:pPr>
      <w:r w:rsidRPr="00002A48">
        <w:rPr>
          <w:rFonts w:cstheme="minorHAnsi"/>
          <w:lang w:val="en-US"/>
        </w:rPr>
        <w:t>Temporis Renewable Energy LP</w:t>
      </w:r>
      <w:r>
        <w:rPr>
          <w:rFonts w:cstheme="minorHAnsi"/>
          <w:lang w:val="en-US"/>
        </w:rPr>
        <w:t xml:space="preserve"> &amp; TREF LP</w:t>
      </w:r>
      <w:r w:rsidRPr="00002A48">
        <w:rPr>
          <w:rFonts w:cstheme="minorHAnsi"/>
          <w:lang w:val="en-US"/>
        </w:rPr>
        <w:t xml:space="preserve">; </w:t>
      </w:r>
    </w:p>
    <w:p w14:paraId="33718C83" w14:textId="1657FD35" w:rsidR="004568EE" w:rsidRDefault="004568EE" w:rsidP="004568EE">
      <w:pPr>
        <w:pStyle w:val="ListParagraph"/>
        <w:numPr>
          <w:ilvl w:val="0"/>
          <w:numId w:val="15"/>
        </w:numPr>
        <w:jc w:val="both"/>
        <w:rPr>
          <w:rFonts w:cstheme="minorHAnsi"/>
          <w:lang w:val="en-US"/>
        </w:rPr>
      </w:pPr>
      <w:r w:rsidRPr="00002A48">
        <w:rPr>
          <w:rFonts w:cstheme="minorHAnsi"/>
          <w:lang w:val="en-US"/>
        </w:rPr>
        <w:t xml:space="preserve">Temporis Operational Renewable Energy </w:t>
      </w:r>
      <w:r>
        <w:rPr>
          <w:rFonts w:cstheme="minorHAnsi"/>
          <w:lang w:val="en-US"/>
        </w:rPr>
        <w:t xml:space="preserve">Strategy </w:t>
      </w:r>
      <w:r w:rsidRPr="00002A48">
        <w:rPr>
          <w:rFonts w:cstheme="minorHAnsi"/>
          <w:lang w:val="en-US"/>
        </w:rPr>
        <w:t>LP</w:t>
      </w:r>
      <w:r w:rsidR="008D0E05">
        <w:rPr>
          <w:rFonts w:cstheme="minorHAnsi"/>
          <w:lang w:val="en-US"/>
        </w:rPr>
        <w:t>; and</w:t>
      </w:r>
    </w:p>
    <w:p w14:paraId="4A207F97" w14:textId="033BD803" w:rsidR="008D0E05" w:rsidRPr="00002A48" w:rsidRDefault="008D0E05" w:rsidP="004568EE">
      <w:pPr>
        <w:pStyle w:val="ListParagraph"/>
        <w:numPr>
          <w:ilvl w:val="0"/>
          <w:numId w:val="15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Temporis </w:t>
      </w:r>
      <w:r w:rsidR="00D85012">
        <w:rPr>
          <w:rFonts w:cstheme="minorHAnsi"/>
          <w:lang w:val="en-US"/>
        </w:rPr>
        <w:t xml:space="preserve">Impact </w:t>
      </w:r>
      <w:r>
        <w:rPr>
          <w:rFonts w:cstheme="minorHAnsi"/>
          <w:lang w:val="en-US"/>
        </w:rPr>
        <w:t>Strategy V LP</w:t>
      </w:r>
      <w:r w:rsidR="000B2187">
        <w:rPr>
          <w:rFonts w:cstheme="minorHAnsi"/>
          <w:lang w:val="en-US"/>
        </w:rPr>
        <w:t>.</w:t>
      </w:r>
    </w:p>
    <w:p w14:paraId="262856FB" w14:textId="7BE74887" w:rsidR="004568EE" w:rsidRPr="00002A48" w:rsidRDefault="004568EE" w:rsidP="004568EE">
      <w:pPr>
        <w:jc w:val="both"/>
        <w:rPr>
          <w:rFonts w:cstheme="minorHAnsi"/>
          <w:lang w:val="en-US"/>
        </w:rPr>
      </w:pPr>
      <w:r w:rsidRPr="00002A48">
        <w:rPr>
          <w:rFonts w:cstheme="minorHAnsi"/>
          <w:lang w:val="en-US"/>
        </w:rPr>
        <w:t>In respect of the Temporis Aurora LP, this fund is currently in the investment stage (</w:t>
      </w:r>
      <w:r w:rsidR="004D1BEF" w:rsidRPr="00002A48">
        <w:rPr>
          <w:rFonts w:cstheme="minorHAnsi"/>
          <w:lang w:val="en-US"/>
        </w:rPr>
        <w:t>i.e.</w:t>
      </w:r>
      <w:r w:rsidRPr="00002A48">
        <w:rPr>
          <w:rFonts w:cstheme="minorHAnsi"/>
          <w:lang w:val="en-US"/>
        </w:rPr>
        <w:t xml:space="preserve"> it is in the process of acquiring assets) and hence a Fund Disclosure Document will be produced when it is fully invested (expected to be later in 2021</w:t>
      </w:r>
      <w:r w:rsidR="000B05D4">
        <w:rPr>
          <w:rFonts w:cstheme="minorHAnsi"/>
          <w:lang w:val="en-US"/>
        </w:rPr>
        <w:t>)</w:t>
      </w:r>
      <w:r w:rsidRPr="00002A48">
        <w:rPr>
          <w:rFonts w:cstheme="minorHAnsi"/>
          <w:lang w:val="en-US"/>
        </w:rPr>
        <w:t xml:space="preserve">. </w:t>
      </w:r>
    </w:p>
    <w:p w14:paraId="4C1B8F8A" w14:textId="16BD869A" w:rsidR="004568EE" w:rsidRPr="0024617A" w:rsidRDefault="008D61C1" w:rsidP="003766B9">
      <w:pPr>
        <w:jc w:val="both"/>
        <w:rPr>
          <w:rFonts w:cstheme="minorHAnsi"/>
          <w:u w:val="single"/>
          <w:lang w:val="en-US"/>
        </w:rPr>
      </w:pPr>
      <w:r w:rsidRPr="0024617A">
        <w:rPr>
          <w:rFonts w:cstheme="minorHAnsi"/>
          <w:u w:val="single"/>
          <w:lang w:val="en-US"/>
        </w:rPr>
        <w:t>Principal A</w:t>
      </w:r>
      <w:r w:rsidR="00FB1DB9" w:rsidRPr="0024617A">
        <w:rPr>
          <w:rFonts w:cstheme="minorHAnsi"/>
          <w:u w:val="single"/>
          <w:lang w:val="en-US"/>
        </w:rPr>
        <w:t>dverse Impacts Statement</w:t>
      </w:r>
    </w:p>
    <w:p w14:paraId="0B7BB2B5" w14:textId="27F682B6" w:rsidR="00FB1DB9" w:rsidRPr="00BC4BD2" w:rsidRDefault="00FB1DB9" w:rsidP="00FB1DB9">
      <w:pPr>
        <w:jc w:val="both"/>
        <w:rPr>
          <w:rFonts w:eastAsia="Times New Roman" w:cstheme="minorHAnsi"/>
          <w:lang w:eastAsia="en-GB"/>
        </w:rPr>
      </w:pPr>
      <w:r w:rsidRPr="00BC4BD2">
        <w:rPr>
          <w:rFonts w:eastAsia="Times New Roman" w:cstheme="minorHAnsi"/>
          <w:lang w:eastAsia="en-GB"/>
        </w:rPr>
        <w:t>The SFDR</w:t>
      </w:r>
      <w:r w:rsidRPr="00BC4BD2">
        <w:rPr>
          <w:rFonts w:eastAsia="Times New Roman" w:cstheme="minorHAnsi"/>
          <w:b/>
          <w:bCs/>
          <w:lang w:eastAsia="en-GB"/>
        </w:rPr>
        <w:t xml:space="preserve"> </w:t>
      </w:r>
      <w:r w:rsidRPr="00BC4BD2">
        <w:rPr>
          <w:rFonts w:eastAsia="Times New Roman" w:cstheme="minorHAnsi"/>
          <w:lang w:eastAsia="en-GB"/>
        </w:rPr>
        <w:t xml:space="preserve">requires </w:t>
      </w:r>
      <w:r w:rsidRPr="00BC4BD2">
        <w:rPr>
          <w:rFonts w:cstheme="minorHAnsi"/>
          <w:lang w:val="en-US"/>
        </w:rPr>
        <w:t xml:space="preserve">Fund Management Companies (“FMCs”) </w:t>
      </w:r>
      <w:r w:rsidRPr="00BC4BD2">
        <w:rPr>
          <w:rFonts w:eastAsia="Times New Roman" w:cstheme="minorHAnsi"/>
          <w:lang w:eastAsia="en-GB"/>
        </w:rPr>
        <w:t xml:space="preserve">to </w:t>
      </w:r>
      <w:r w:rsidR="00CE3F6F">
        <w:rPr>
          <w:rFonts w:eastAsia="Times New Roman" w:cstheme="minorHAnsi"/>
          <w:lang w:eastAsia="en-GB"/>
        </w:rPr>
        <w:t xml:space="preserve">adopt </w:t>
      </w:r>
      <w:r w:rsidRPr="00BC4BD2">
        <w:rPr>
          <w:rFonts w:eastAsia="Times New Roman" w:cstheme="minorHAnsi"/>
          <w:lang w:eastAsia="en-GB"/>
        </w:rPr>
        <w:t xml:space="preserve">a “comply or explain” </w:t>
      </w:r>
      <w:r w:rsidR="00EB03D8">
        <w:rPr>
          <w:rFonts w:eastAsia="Times New Roman" w:cstheme="minorHAnsi"/>
          <w:lang w:eastAsia="en-GB"/>
        </w:rPr>
        <w:t xml:space="preserve">decision </w:t>
      </w:r>
      <w:r w:rsidRPr="00BC4BD2">
        <w:rPr>
          <w:rFonts w:eastAsia="Times New Roman" w:cstheme="minorHAnsi"/>
          <w:lang w:eastAsia="en-GB"/>
        </w:rPr>
        <w:t xml:space="preserve">on whether to consider the principal adverse impacts </w:t>
      </w:r>
      <w:r w:rsidRPr="004C5584">
        <w:rPr>
          <w:rFonts w:eastAsia="Times New Roman" w:cstheme="minorHAnsi"/>
          <w:lang w:eastAsia="en-GB"/>
        </w:rPr>
        <w:t>(“PAIs”</w:t>
      </w:r>
      <w:r w:rsidRPr="00BC4BD2">
        <w:rPr>
          <w:rFonts w:eastAsia="Times New Roman" w:cstheme="minorHAnsi"/>
          <w:lang w:eastAsia="en-GB"/>
        </w:rPr>
        <w:t xml:space="preserve">) of their investment decisions on sustainability factors, in accordance with a specific regime outlined in SFDR.  </w:t>
      </w:r>
    </w:p>
    <w:p w14:paraId="318358CF" w14:textId="1716C099" w:rsidR="007D670E" w:rsidRDefault="00880324" w:rsidP="00F75DED">
      <w:pPr>
        <w:jc w:val="both"/>
        <w:rPr>
          <w:rFonts w:cstheme="minorHAnsi"/>
          <w:lang w:val="en-US"/>
        </w:rPr>
      </w:pPr>
      <w:r w:rsidRPr="00BC4BD2">
        <w:rPr>
          <w:rFonts w:eastAsia="Times New Roman" w:cstheme="minorHAnsi"/>
          <w:lang w:eastAsia="en-GB"/>
        </w:rPr>
        <w:t xml:space="preserve">TIML has </w:t>
      </w:r>
      <w:r w:rsidR="00A465C0" w:rsidRPr="00BC4BD2">
        <w:rPr>
          <w:rFonts w:eastAsia="Times New Roman" w:cstheme="minorHAnsi"/>
          <w:lang w:eastAsia="en-GB"/>
        </w:rPr>
        <w:t xml:space="preserve">carefully evaluated the requirements of the PAI regime </w:t>
      </w:r>
      <w:r w:rsidR="00164E35" w:rsidRPr="00BC4BD2">
        <w:rPr>
          <w:rFonts w:eastAsia="Times New Roman" w:cstheme="minorHAnsi"/>
          <w:lang w:eastAsia="en-GB"/>
        </w:rPr>
        <w:t xml:space="preserve">and </w:t>
      </w:r>
      <w:r w:rsidR="0060429D" w:rsidRPr="00BC4BD2">
        <w:rPr>
          <w:rFonts w:eastAsia="Times New Roman" w:cstheme="minorHAnsi"/>
          <w:lang w:eastAsia="en-GB"/>
        </w:rPr>
        <w:t xml:space="preserve">taking account of the nature and scope of </w:t>
      </w:r>
      <w:r w:rsidR="008C5BA8">
        <w:rPr>
          <w:rFonts w:eastAsia="Times New Roman" w:cstheme="minorHAnsi"/>
          <w:lang w:eastAsia="en-GB"/>
        </w:rPr>
        <w:t xml:space="preserve">its </w:t>
      </w:r>
      <w:r w:rsidR="0060429D" w:rsidRPr="00BC4BD2">
        <w:rPr>
          <w:rFonts w:eastAsia="Times New Roman" w:cstheme="minorHAnsi"/>
          <w:lang w:eastAsia="en-GB"/>
        </w:rPr>
        <w:t xml:space="preserve">activities </w:t>
      </w:r>
      <w:r w:rsidR="00A75600" w:rsidRPr="00BC4BD2">
        <w:rPr>
          <w:rFonts w:eastAsia="Times New Roman" w:cstheme="minorHAnsi"/>
          <w:lang w:eastAsia="en-GB"/>
        </w:rPr>
        <w:t>decided not to comply with the regime at this time</w:t>
      </w:r>
      <w:r w:rsidR="00ED0465">
        <w:rPr>
          <w:rFonts w:eastAsia="Times New Roman" w:cstheme="minorHAnsi"/>
          <w:lang w:eastAsia="en-GB"/>
        </w:rPr>
        <w:t xml:space="preserve"> </w:t>
      </w:r>
      <w:r w:rsidR="00ED0465" w:rsidRPr="008E7304">
        <w:rPr>
          <w:rFonts w:eastAsia="Times New Roman" w:cstheme="minorHAnsi"/>
          <w:lang w:eastAsia="en-GB"/>
        </w:rPr>
        <w:t>other than to the extent necessary to address the Do No Significant Harm (“DNSH”) element of its product level website disclosures</w:t>
      </w:r>
      <w:r w:rsidR="00ED0465" w:rsidRPr="008E7304">
        <w:t xml:space="preserve"> as required under Article 2(17) of the SFDR</w:t>
      </w:r>
      <w:r w:rsidR="00D42874" w:rsidRPr="008E7304">
        <w:rPr>
          <w:rFonts w:eastAsia="Times New Roman" w:cstheme="minorHAnsi"/>
          <w:lang w:eastAsia="en-GB"/>
        </w:rPr>
        <w:t>.</w:t>
      </w:r>
      <w:r w:rsidR="00D42874" w:rsidRPr="00BC4BD2">
        <w:rPr>
          <w:rFonts w:eastAsia="Times New Roman" w:cstheme="minorHAnsi"/>
          <w:lang w:eastAsia="en-GB"/>
        </w:rPr>
        <w:t xml:space="preserve">  </w:t>
      </w:r>
      <w:r w:rsidR="00B001A3" w:rsidRPr="00BC4BD2">
        <w:rPr>
          <w:rFonts w:eastAsia="Times New Roman" w:cstheme="minorHAnsi"/>
          <w:lang w:eastAsia="en-GB"/>
        </w:rPr>
        <w:t>Specifically, t</w:t>
      </w:r>
      <w:r w:rsidR="00D42874" w:rsidRPr="00BC4BD2">
        <w:rPr>
          <w:rFonts w:eastAsia="Times New Roman" w:cstheme="minorHAnsi"/>
          <w:lang w:eastAsia="en-GB"/>
        </w:rPr>
        <w:t xml:space="preserve">his is due to a significant number of </w:t>
      </w:r>
      <w:r w:rsidR="000E03FA" w:rsidRPr="00BC4BD2">
        <w:rPr>
          <w:rFonts w:eastAsia="Times New Roman" w:cstheme="minorHAnsi"/>
          <w:lang w:eastAsia="en-GB"/>
        </w:rPr>
        <w:t xml:space="preserve">the </w:t>
      </w:r>
      <w:r w:rsidR="00823A56" w:rsidRPr="00BC4BD2">
        <w:rPr>
          <w:rFonts w:cstheme="minorHAnsi"/>
          <w:lang w:val="en-US"/>
        </w:rPr>
        <w:t xml:space="preserve">KPIs </w:t>
      </w:r>
      <w:r w:rsidR="0072548B" w:rsidRPr="00BC4BD2">
        <w:rPr>
          <w:rFonts w:cstheme="minorHAnsi"/>
          <w:lang w:val="en-US"/>
        </w:rPr>
        <w:t xml:space="preserve">not being relevant to </w:t>
      </w:r>
      <w:r w:rsidR="00823A56" w:rsidRPr="00BC4BD2">
        <w:rPr>
          <w:rFonts w:cstheme="minorHAnsi"/>
          <w:lang w:val="en-US"/>
        </w:rPr>
        <w:t xml:space="preserve">the nature of </w:t>
      </w:r>
      <w:r w:rsidR="00806331">
        <w:rPr>
          <w:rFonts w:cstheme="minorHAnsi"/>
          <w:lang w:val="en-US"/>
        </w:rPr>
        <w:t xml:space="preserve">TIML’s fund </w:t>
      </w:r>
      <w:r w:rsidR="00823A56" w:rsidRPr="00BC4BD2">
        <w:rPr>
          <w:rFonts w:cstheme="minorHAnsi"/>
          <w:lang w:val="en-US"/>
        </w:rPr>
        <w:t xml:space="preserve">investments, which typically are in </w:t>
      </w:r>
      <w:r w:rsidR="006966EB">
        <w:rPr>
          <w:rFonts w:cstheme="minorHAnsi"/>
          <w:lang w:val="en-US"/>
        </w:rPr>
        <w:t xml:space="preserve">private </w:t>
      </w:r>
      <w:r w:rsidR="00823A56" w:rsidRPr="00BC4BD2">
        <w:rPr>
          <w:rFonts w:cstheme="minorHAnsi"/>
          <w:lang w:val="en-US"/>
        </w:rPr>
        <w:t xml:space="preserve">companies, established to hold a particular infrastructure </w:t>
      </w:r>
      <w:r w:rsidR="00806331">
        <w:rPr>
          <w:rFonts w:cstheme="minorHAnsi"/>
          <w:lang w:val="en-US"/>
        </w:rPr>
        <w:t xml:space="preserve">asset </w:t>
      </w:r>
      <w:r w:rsidR="00823A56" w:rsidRPr="00BC4BD2">
        <w:rPr>
          <w:rFonts w:cstheme="minorHAnsi"/>
          <w:lang w:val="en-US"/>
        </w:rPr>
        <w:t xml:space="preserve">and which do not have any employees.  </w:t>
      </w:r>
      <w:r w:rsidR="00A502DA" w:rsidRPr="00BC4BD2">
        <w:rPr>
          <w:rFonts w:cstheme="minorHAnsi"/>
          <w:lang w:val="en-US"/>
        </w:rPr>
        <w:t xml:space="preserve"> </w:t>
      </w:r>
    </w:p>
    <w:p w14:paraId="53F9C23A" w14:textId="77777777" w:rsidR="008D5804" w:rsidRDefault="00E01913" w:rsidP="00F75DED">
      <w:pPr>
        <w:jc w:val="both"/>
        <w:rPr>
          <w:rFonts w:eastAsia="Times New Roman" w:cstheme="minorHAnsi"/>
          <w:lang w:eastAsia="en-GB"/>
        </w:rPr>
      </w:pPr>
      <w:r>
        <w:rPr>
          <w:rFonts w:cstheme="minorHAnsi"/>
          <w:lang w:val="en-US"/>
        </w:rPr>
        <w:t xml:space="preserve">In addition, </w:t>
      </w:r>
      <w:r w:rsidR="00A502DA" w:rsidRPr="00BC4BD2">
        <w:rPr>
          <w:rFonts w:eastAsia="Times New Roman" w:cstheme="minorHAnsi"/>
          <w:lang w:eastAsia="en-GB"/>
        </w:rPr>
        <w:t>the</w:t>
      </w:r>
      <w:r w:rsidR="002F59D8">
        <w:rPr>
          <w:rFonts w:eastAsia="Times New Roman" w:cstheme="minorHAnsi"/>
          <w:lang w:eastAsia="en-GB"/>
        </w:rPr>
        <w:t xml:space="preserve">re is a </w:t>
      </w:r>
      <w:r w:rsidR="00A502DA" w:rsidRPr="00BC4BD2">
        <w:rPr>
          <w:rFonts w:eastAsia="Times New Roman" w:cstheme="minorHAnsi"/>
          <w:lang w:eastAsia="en-GB"/>
        </w:rPr>
        <w:t xml:space="preserve">lack of readily available data to comply with the </w:t>
      </w:r>
      <w:r w:rsidR="00DD1F31">
        <w:rPr>
          <w:rFonts w:eastAsia="Times New Roman" w:cstheme="minorHAnsi"/>
          <w:lang w:eastAsia="en-GB"/>
        </w:rPr>
        <w:t xml:space="preserve">complex </w:t>
      </w:r>
      <w:r w:rsidR="00A502DA" w:rsidRPr="00BC4BD2">
        <w:rPr>
          <w:rFonts w:eastAsia="Times New Roman" w:cstheme="minorHAnsi"/>
          <w:lang w:eastAsia="en-GB"/>
        </w:rPr>
        <w:t>technical reporting requirements of the PAI regime</w:t>
      </w:r>
      <w:r w:rsidR="004E70BB">
        <w:rPr>
          <w:rFonts w:eastAsia="Times New Roman" w:cstheme="minorHAnsi"/>
          <w:lang w:eastAsia="en-GB"/>
        </w:rPr>
        <w:t xml:space="preserve">.  </w:t>
      </w:r>
      <w:r w:rsidR="00850D6F">
        <w:rPr>
          <w:rFonts w:eastAsia="Times New Roman" w:cstheme="minorHAnsi"/>
          <w:lang w:eastAsia="en-GB"/>
        </w:rPr>
        <w:t xml:space="preserve">Consequently, </w:t>
      </w:r>
      <w:r w:rsidR="00457403" w:rsidRPr="00BC4BD2">
        <w:rPr>
          <w:rFonts w:eastAsia="Times New Roman" w:cstheme="minorHAnsi"/>
          <w:lang w:eastAsia="en-GB"/>
        </w:rPr>
        <w:t xml:space="preserve">many </w:t>
      </w:r>
      <w:r w:rsidR="00A502DA" w:rsidRPr="00BC4BD2">
        <w:rPr>
          <w:rFonts w:eastAsia="Times New Roman" w:cstheme="minorHAnsi"/>
          <w:lang w:eastAsia="en-GB"/>
        </w:rPr>
        <w:t>private enterprises do not currently track such data</w:t>
      </w:r>
      <w:r w:rsidR="00457403" w:rsidRPr="00BC4BD2">
        <w:rPr>
          <w:rFonts w:eastAsia="Times New Roman" w:cstheme="minorHAnsi"/>
          <w:lang w:eastAsia="en-GB"/>
        </w:rPr>
        <w:t xml:space="preserve"> and would not be able to do so in a cost</w:t>
      </w:r>
      <w:r w:rsidR="008D5804">
        <w:rPr>
          <w:rFonts w:eastAsia="Times New Roman" w:cstheme="minorHAnsi"/>
          <w:lang w:eastAsia="en-GB"/>
        </w:rPr>
        <w:t>-</w:t>
      </w:r>
      <w:r w:rsidR="00457403" w:rsidRPr="00BC4BD2">
        <w:rPr>
          <w:rFonts w:eastAsia="Times New Roman" w:cstheme="minorHAnsi"/>
          <w:lang w:eastAsia="en-GB"/>
        </w:rPr>
        <w:t>effective manner</w:t>
      </w:r>
      <w:r w:rsidR="00A502DA" w:rsidRPr="00BC4BD2">
        <w:rPr>
          <w:rFonts w:eastAsia="Times New Roman" w:cstheme="minorHAnsi"/>
          <w:lang w:eastAsia="en-GB"/>
        </w:rPr>
        <w:t xml:space="preserve">. </w:t>
      </w:r>
      <w:r w:rsidR="003F5591" w:rsidRPr="00BC4BD2">
        <w:rPr>
          <w:rFonts w:eastAsia="Times New Roman" w:cstheme="minorHAnsi"/>
          <w:lang w:eastAsia="en-GB"/>
        </w:rPr>
        <w:t xml:space="preserve"> </w:t>
      </w:r>
    </w:p>
    <w:p w14:paraId="10215462" w14:textId="04015096" w:rsidR="005D53C7" w:rsidRDefault="007D670E" w:rsidP="00F75DED">
      <w:pPr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TIML </w:t>
      </w:r>
      <w:r w:rsidR="00E50E65">
        <w:rPr>
          <w:rFonts w:eastAsia="Times New Roman" w:cstheme="minorHAnsi"/>
          <w:lang w:eastAsia="en-GB"/>
        </w:rPr>
        <w:t xml:space="preserve">will </w:t>
      </w:r>
      <w:r w:rsidR="00F75DED" w:rsidRPr="00BC4BD2">
        <w:rPr>
          <w:rFonts w:eastAsia="Times New Roman" w:cstheme="minorHAnsi"/>
          <w:lang w:eastAsia="en-GB"/>
        </w:rPr>
        <w:t xml:space="preserve">keep </w:t>
      </w:r>
      <w:r w:rsidR="008D5804">
        <w:rPr>
          <w:rFonts w:eastAsia="Times New Roman" w:cstheme="minorHAnsi"/>
          <w:lang w:eastAsia="en-GB"/>
        </w:rPr>
        <w:t>th</w:t>
      </w:r>
      <w:r w:rsidR="00566664">
        <w:rPr>
          <w:rFonts w:eastAsia="Times New Roman" w:cstheme="minorHAnsi"/>
          <w:lang w:eastAsia="en-GB"/>
        </w:rPr>
        <w:t xml:space="preserve">e above </w:t>
      </w:r>
      <w:r w:rsidR="00EB03D8">
        <w:rPr>
          <w:rFonts w:eastAsia="Times New Roman" w:cstheme="minorHAnsi"/>
          <w:lang w:eastAsia="en-GB"/>
        </w:rPr>
        <w:t xml:space="preserve">decision </w:t>
      </w:r>
      <w:r w:rsidR="00F75DED" w:rsidRPr="00BC4BD2">
        <w:rPr>
          <w:rFonts w:eastAsia="Times New Roman" w:cstheme="minorHAnsi"/>
          <w:lang w:eastAsia="en-GB"/>
        </w:rPr>
        <w:t>under regular review.</w:t>
      </w:r>
    </w:p>
    <w:p w14:paraId="3C55562E" w14:textId="53FA6DEE" w:rsidR="00EB03D8" w:rsidRDefault="00EB03D8" w:rsidP="00F75DED">
      <w:pPr>
        <w:jc w:val="both"/>
        <w:rPr>
          <w:rFonts w:eastAsia="Times New Roman" w:cstheme="minorHAnsi"/>
          <w:u w:val="single"/>
          <w:lang w:eastAsia="en-GB"/>
        </w:rPr>
      </w:pPr>
      <w:r w:rsidRPr="002A751F">
        <w:rPr>
          <w:rFonts w:eastAsia="Times New Roman" w:cstheme="minorHAnsi"/>
          <w:u w:val="single"/>
          <w:lang w:eastAsia="en-GB"/>
        </w:rPr>
        <w:lastRenderedPageBreak/>
        <w:t>Temporis</w:t>
      </w:r>
      <w:r w:rsidR="002A751F" w:rsidRPr="002A751F">
        <w:rPr>
          <w:rFonts w:eastAsia="Times New Roman" w:cstheme="minorHAnsi"/>
          <w:u w:val="single"/>
          <w:lang w:eastAsia="en-GB"/>
        </w:rPr>
        <w:t>’ Approach</w:t>
      </w:r>
      <w:r w:rsidR="006E57E2">
        <w:rPr>
          <w:rFonts w:eastAsia="Times New Roman" w:cstheme="minorHAnsi"/>
          <w:u w:val="single"/>
          <w:lang w:eastAsia="en-GB"/>
        </w:rPr>
        <w:t xml:space="preserve"> to Sustainability Factors</w:t>
      </w:r>
    </w:p>
    <w:p w14:paraId="14AF1373" w14:textId="02FCA11B" w:rsidR="006B64D5" w:rsidRPr="00566664" w:rsidRDefault="00C13348" w:rsidP="002E51B2">
      <w:pPr>
        <w:jc w:val="both"/>
        <w:rPr>
          <w:rFonts w:eastAsia="Times New Roman" w:cstheme="minorHAnsi"/>
          <w:lang w:eastAsia="en-GB"/>
        </w:rPr>
      </w:pPr>
      <w:r w:rsidRPr="00566664">
        <w:rPr>
          <w:rFonts w:eastAsia="Times New Roman" w:cstheme="minorHAnsi"/>
          <w:lang w:eastAsia="en-GB"/>
        </w:rPr>
        <w:t xml:space="preserve">Notwithstanding our decision not to comply with the PAI regime, </w:t>
      </w:r>
      <w:r w:rsidR="00160D2E" w:rsidRPr="00566664">
        <w:rPr>
          <w:rFonts w:eastAsia="Times New Roman" w:cstheme="minorHAnsi"/>
          <w:lang w:eastAsia="en-GB"/>
        </w:rPr>
        <w:t xml:space="preserve">Temporis </w:t>
      </w:r>
      <w:r w:rsidR="005715EC" w:rsidRPr="00566664">
        <w:rPr>
          <w:rFonts w:eastAsia="Times New Roman" w:cstheme="minorHAnsi"/>
          <w:lang w:eastAsia="en-GB"/>
        </w:rPr>
        <w:t xml:space="preserve">is extremely committed </w:t>
      </w:r>
      <w:r w:rsidRPr="00566664">
        <w:rPr>
          <w:rFonts w:eastAsia="Times New Roman" w:cstheme="minorHAnsi"/>
          <w:lang w:eastAsia="en-GB"/>
        </w:rPr>
        <w:t>to ESG matters</w:t>
      </w:r>
      <w:r w:rsidR="002E51B2" w:rsidRPr="00566664">
        <w:rPr>
          <w:rFonts w:eastAsia="Times New Roman" w:cstheme="minorHAnsi"/>
          <w:lang w:eastAsia="en-GB"/>
        </w:rPr>
        <w:t xml:space="preserve"> wit</w:t>
      </w:r>
      <w:r w:rsidR="0094626A">
        <w:rPr>
          <w:rFonts w:eastAsia="Times New Roman" w:cstheme="minorHAnsi"/>
          <w:lang w:eastAsia="en-GB"/>
        </w:rPr>
        <w:t>h s</w:t>
      </w:r>
      <w:r w:rsidR="00896A9F" w:rsidRPr="00566664">
        <w:rPr>
          <w:rFonts w:eastAsia="Times New Roman" w:cstheme="minorHAnsi"/>
          <w:lang w:eastAsia="en-GB"/>
        </w:rPr>
        <w:t xml:space="preserve">ustainability </w:t>
      </w:r>
      <w:r w:rsidR="00014AA2" w:rsidRPr="00566664">
        <w:rPr>
          <w:rFonts w:eastAsia="Times New Roman" w:cstheme="minorHAnsi"/>
          <w:lang w:eastAsia="en-GB"/>
        </w:rPr>
        <w:t xml:space="preserve">at the </w:t>
      </w:r>
      <w:r w:rsidR="00896A9F" w:rsidRPr="00566664">
        <w:rPr>
          <w:rFonts w:eastAsia="Times New Roman" w:cstheme="minorHAnsi"/>
          <w:lang w:eastAsia="en-GB"/>
        </w:rPr>
        <w:t xml:space="preserve">core of </w:t>
      </w:r>
      <w:r w:rsidR="00014AA2" w:rsidRPr="00566664">
        <w:rPr>
          <w:rFonts w:eastAsia="Times New Roman" w:cstheme="minorHAnsi"/>
          <w:lang w:eastAsia="en-GB"/>
        </w:rPr>
        <w:t xml:space="preserve">its </w:t>
      </w:r>
      <w:r w:rsidR="00896A9F" w:rsidRPr="00566664">
        <w:rPr>
          <w:rFonts w:eastAsia="Times New Roman" w:cstheme="minorHAnsi"/>
          <w:lang w:eastAsia="en-GB"/>
        </w:rPr>
        <w:t>business mode</w:t>
      </w:r>
      <w:r w:rsidR="0012741C" w:rsidRPr="00566664">
        <w:rPr>
          <w:rFonts w:eastAsia="Times New Roman" w:cstheme="minorHAnsi"/>
          <w:lang w:eastAsia="en-GB"/>
        </w:rPr>
        <w:t>l</w:t>
      </w:r>
      <w:r w:rsidR="00014AA2" w:rsidRPr="00566664">
        <w:rPr>
          <w:rFonts w:eastAsia="Times New Roman" w:cstheme="minorHAnsi"/>
          <w:lang w:eastAsia="en-GB"/>
        </w:rPr>
        <w:t xml:space="preserve">. </w:t>
      </w:r>
      <w:r w:rsidR="0012741C" w:rsidRPr="00566664">
        <w:rPr>
          <w:rFonts w:eastAsia="Times New Roman" w:cstheme="minorHAnsi"/>
          <w:lang w:eastAsia="en-GB"/>
        </w:rPr>
        <w:t xml:space="preserve"> </w:t>
      </w:r>
    </w:p>
    <w:p w14:paraId="404C809C" w14:textId="4FD056E4" w:rsidR="006B64D5" w:rsidRPr="00566664" w:rsidRDefault="00D4169D" w:rsidP="002B6DB9">
      <w:pPr>
        <w:spacing w:after="0" w:line="240" w:lineRule="auto"/>
        <w:jc w:val="both"/>
        <w:rPr>
          <w:rFonts w:cstheme="minorHAnsi"/>
          <w:lang w:val="en-US"/>
        </w:rPr>
      </w:pPr>
      <w:r w:rsidRPr="00566664">
        <w:rPr>
          <w:rFonts w:eastAsia="Times New Roman" w:cstheme="minorHAnsi"/>
          <w:lang w:eastAsia="en-GB"/>
        </w:rPr>
        <w:t xml:space="preserve">A set of </w:t>
      </w:r>
      <w:r w:rsidR="00D3684D" w:rsidRPr="00566664">
        <w:rPr>
          <w:rFonts w:cstheme="minorHAnsi"/>
          <w:lang w:val="en-US"/>
        </w:rPr>
        <w:t xml:space="preserve">sustainability factors </w:t>
      </w:r>
      <w:r w:rsidR="007427AB" w:rsidRPr="00566664">
        <w:rPr>
          <w:rFonts w:cstheme="minorHAnsi"/>
          <w:lang w:val="en-US"/>
        </w:rPr>
        <w:t xml:space="preserve">tailored to </w:t>
      </w:r>
      <w:r w:rsidR="00D3684D" w:rsidRPr="00566664">
        <w:rPr>
          <w:rFonts w:cstheme="minorHAnsi"/>
          <w:lang w:val="en-US"/>
        </w:rPr>
        <w:t xml:space="preserve">Temporis’ investment activities </w:t>
      </w:r>
      <w:r w:rsidR="004D37C2" w:rsidRPr="00566664">
        <w:rPr>
          <w:rFonts w:cstheme="minorHAnsi"/>
          <w:lang w:val="en-US"/>
        </w:rPr>
        <w:t xml:space="preserve">are set out at Appendix 2 of </w:t>
      </w:r>
      <w:r w:rsidR="00172CA0">
        <w:rPr>
          <w:rFonts w:cstheme="minorHAnsi"/>
          <w:lang w:val="en-US"/>
        </w:rPr>
        <w:t xml:space="preserve">its </w:t>
      </w:r>
      <w:r w:rsidR="004D37C2" w:rsidRPr="00566664">
        <w:rPr>
          <w:rFonts w:cstheme="minorHAnsi"/>
          <w:lang w:val="en-US"/>
        </w:rPr>
        <w:t>ESG Investment Policy.</w:t>
      </w:r>
      <w:r w:rsidR="009315B5" w:rsidRPr="00566664">
        <w:rPr>
          <w:rFonts w:cstheme="minorHAnsi"/>
          <w:lang w:val="en-US"/>
        </w:rPr>
        <w:t xml:space="preserve">  These are </w:t>
      </w:r>
      <w:r w:rsidR="00D3684D" w:rsidRPr="00566664">
        <w:rPr>
          <w:rFonts w:cstheme="minorHAnsi"/>
          <w:lang w:val="en-US"/>
        </w:rPr>
        <w:t xml:space="preserve">used to </w:t>
      </w:r>
      <w:r w:rsidR="009653E9">
        <w:rPr>
          <w:rFonts w:cstheme="minorHAnsi"/>
          <w:lang w:val="en-US"/>
        </w:rPr>
        <w:t xml:space="preserve">assist the </w:t>
      </w:r>
      <w:r w:rsidR="00D3684D" w:rsidRPr="00566664">
        <w:rPr>
          <w:rFonts w:cstheme="minorHAnsi"/>
          <w:lang w:val="en-US"/>
        </w:rPr>
        <w:t>screen</w:t>
      </w:r>
      <w:r w:rsidR="009653E9">
        <w:rPr>
          <w:rFonts w:cstheme="minorHAnsi"/>
          <w:lang w:val="en-US"/>
        </w:rPr>
        <w:t>ing</w:t>
      </w:r>
      <w:r w:rsidR="00D3684D" w:rsidRPr="00566664">
        <w:rPr>
          <w:rFonts w:cstheme="minorHAnsi"/>
          <w:lang w:val="en-US"/>
        </w:rPr>
        <w:t xml:space="preserve"> </w:t>
      </w:r>
      <w:r w:rsidR="009653E9">
        <w:rPr>
          <w:rFonts w:cstheme="minorHAnsi"/>
          <w:lang w:val="en-US"/>
        </w:rPr>
        <w:t xml:space="preserve">of </w:t>
      </w:r>
      <w:r w:rsidR="00D3684D" w:rsidRPr="00566664">
        <w:rPr>
          <w:rFonts w:cstheme="minorHAnsi"/>
          <w:lang w:val="en-US"/>
        </w:rPr>
        <w:t>new and existing investments, as applicable</w:t>
      </w:r>
      <w:r w:rsidR="008C2043" w:rsidRPr="00566664">
        <w:rPr>
          <w:rFonts w:cstheme="minorHAnsi"/>
          <w:lang w:val="en-US"/>
        </w:rPr>
        <w:t xml:space="preserve">.  </w:t>
      </w:r>
    </w:p>
    <w:p w14:paraId="4C765C48" w14:textId="77777777" w:rsidR="006B64D5" w:rsidRPr="00566664" w:rsidRDefault="006B64D5" w:rsidP="002B6DB9">
      <w:pPr>
        <w:spacing w:after="0" w:line="240" w:lineRule="auto"/>
        <w:jc w:val="both"/>
        <w:rPr>
          <w:rFonts w:cstheme="minorHAnsi"/>
          <w:lang w:val="en-US"/>
        </w:rPr>
      </w:pPr>
    </w:p>
    <w:p w14:paraId="69C23483" w14:textId="7419E1A7" w:rsidR="002B6DB9" w:rsidRPr="00566664" w:rsidRDefault="008C2043" w:rsidP="002B6DB9">
      <w:pPr>
        <w:spacing w:after="0" w:line="240" w:lineRule="auto"/>
        <w:jc w:val="both"/>
        <w:rPr>
          <w:rFonts w:cstheme="minorHAnsi"/>
        </w:rPr>
      </w:pPr>
      <w:r w:rsidRPr="00566664">
        <w:rPr>
          <w:rFonts w:cstheme="minorHAnsi"/>
          <w:lang w:val="en-US"/>
        </w:rPr>
        <w:t xml:space="preserve">Relevant </w:t>
      </w:r>
      <w:r w:rsidR="00D3684D" w:rsidRPr="00566664">
        <w:rPr>
          <w:rFonts w:cstheme="minorHAnsi"/>
          <w:lang w:val="en-US"/>
        </w:rPr>
        <w:t xml:space="preserve">metrics </w:t>
      </w:r>
      <w:r w:rsidRPr="00566664">
        <w:rPr>
          <w:rFonts w:cstheme="minorHAnsi"/>
          <w:lang w:val="en-US"/>
        </w:rPr>
        <w:t xml:space="preserve">have been developed </w:t>
      </w:r>
      <w:r w:rsidR="003C1ED6" w:rsidRPr="00566664">
        <w:rPr>
          <w:rFonts w:cstheme="minorHAnsi"/>
          <w:lang w:val="en-US"/>
        </w:rPr>
        <w:t xml:space="preserve">in relation to the </w:t>
      </w:r>
      <w:r w:rsidR="002B6DB9" w:rsidRPr="00566664">
        <w:rPr>
          <w:rFonts w:cstheme="minorHAnsi"/>
        </w:rPr>
        <w:t xml:space="preserve">sustainability performance of the </w:t>
      </w:r>
      <w:r w:rsidR="004E394B" w:rsidRPr="00566664">
        <w:rPr>
          <w:rFonts w:cstheme="minorHAnsi"/>
        </w:rPr>
        <w:t xml:space="preserve">Temporis </w:t>
      </w:r>
      <w:r w:rsidR="002B6DB9" w:rsidRPr="00566664">
        <w:rPr>
          <w:rFonts w:cstheme="minorHAnsi"/>
        </w:rPr>
        <w:t>Fund</w:t>
      </w:r>
      <w:r w:rsidR="003C1ED6" w:rsidRPr="00566664">
        <w:rPr>
          <w:rFonts w:cstheme="minorHAnsi"/>
        </w:rPr>
        <w:t>s</w:t>
      </w:r>
      <w:r w:rsidR="001D35E8" w:rsidRPr="00566664">
        <w:rPr>
          <w:rFonts w:cstheme="minorHAnsi"/>
        </w:rPr>
        <w:t xml:space="preserve">, performance against which is </w:t>
      </w:r>
      <w:r w:rsidR="003C1ED6" w:rsidRPr="00566664">
        <w:rPr>
          <w:rFonts w:cstheme="minorHAnsi"/>
          <w:lang w:val="en-US"/>
        </w:rPr>
        <w:t>reported to clients.</w:t>
      </w:r>
      <w:r w:rsidR="002B6DB9" w:rsidRPr="00566664">
        <w:rPr>
          <w:rFonts w:cstheme="minorHAnsi"/>
        </w:rPr>
        <w:t xml:space="preserve"> </w:t>
      </w:r>
      <w:r w:rsidR="003B6A1E" w:rsidRPr="00566664">
        <w:rPr>
          <w:rFonts w:cstheme="minorHAnsi"/>
        </w:rPr>
        <w:t xml:space="preserve"> These include the </w:t>
      </w:r>
      <w:r w:rsidR="002B6DB9" w:rsidRPr="00566664">
        <w:rPr>
          <w:rFonts w:cstheme="minorHAnsi"/>
        </w:rPr>
        <w:t>amount of clean energy generated for each asset and across the Fund</w:t>
      </w:r>
      <w:r w:rsidR="003B6A1E" w:rsidRPr="00566664">
        <w:rPr>
          <w:rFonts w:cstheme="minorHAnsi"/>
        </w:rPr>
        <w:t>s</w:t>
      </w:r>
      <w:r w:rsidR="006C0697" w:rsidRPr="00566664">
        <w:rPr>
          <w:rFonts w:cstheme="minorHAnsi"/>
        </w:rPr>
        <w:t>’</w:t>
      </w:r>
      <w:r w:rsidR="002B6DB9" w:rsidRPr="00566664">
        <w:rPr>
          <w:rFonts w:cstheme="minorHAnsi"/>
        </w:rPr>
        <w:t xml:space="preserve"> portfolio</w:t>
      </w:r>
      <w:r w:rsidR="00976FEA" w:rsidRPr="00566664">
        <w:rPr>
          <w:rFonts w:cstheme="minorHAnsi"/>
        </w:rPr>
        <w:t xml:space="preserve">s and the </w:t>
      </w:r>
      <w:r w:rsidR="002B6DB9" w:rsidRPr="00566664">
        <w:rPr>
          <w:rFonts w:cstheme="minorHAnsi"/>
        </w:rPr>
        <w:t>cumulative CO2 emissions savings</w:t>
      </w:r>
      <w:r w:rsidR="00976FEA" w:rsidRPr="00566664">
        <w:rPr>
          <w:rFonts w:cstheme="minorHAnsi"/>
        </w:rPr>
        <w:t xml:space="preserve">. </w:t>
      </w:r>
      <w:r w:rsidR="002B6DB9" w:rsidRPr="00566664">
        <w:rPr>
          <w:rFonts w:cstheme="minorHAnsi"/>
        </w:rPr>
        <w:t xml:space="preserve"> </w:t>
      </w:r>
    </w:p>
    <w:p w14:paraId="0AEFDAAA" w14:textId="77777777" w:rsidR="00DF2839" w:rsidRDefault="00DF2839" w:rsidP="00DF2839">
      <w:pPr>
        <w:pStyle w:val="NoSpacing"/>
        <w:rPr>
          <w:lang w:val="en-US"/>
        </w:rPr>
      </w:pPr>
    </w:p>
    <w:p w14:paraId="68B95E5F" w14:textId="2EA46095" w:rsidR="00CB49C0" w:rsidRDefault="00976FEA" w:rsidP="00DF2839">
      <w:pPr>
        <w:pStyle w:val="NoSpacing"/>
        <w:jc w:val="both"/>
        <w:rPr>
          <w:lang w:val="en-US"/>
        </w:rPr>
      </w:pPr>
      <w:r w:rsidRPr="00566664">
        <w:rPr>
          <w:lang w:val="en-US"/>
        </w:rPr>
        <w:t xml:space="preserve">It should also be noted that </w:t>
      </w:r>
      <w:r w:rsidR="00CB49C0" w:rsidRPr="00566664">
        <w:rPr>
          <w:lang w:val="en-US"/>
        </w:rPr>
        <w:t xml:space="preserve">Temporis is a signatory of the Principles for Responsible Investment (“PRI”) which are fully embedded within the ESG Investment Policy and underlying investment processes.  Compliance with the PRI Principles forms a key basis for engagement with the Firm’s investors, investee companies and other stakeholders. </w:t>
      </w:r>
    </w:p>
    <w:p w14:paraId="731A1023" w14:textId="77777777" w:rsidR="00DF2839" w:rsidRPr="00566664" w:rsidRDefault="00DF2839" w:rsidP="00DF2839">
      <w:pPr>
        <w:pStyle w:val="NoSpacing"/>
        <w:jc w:val="both"/>
        <w:rPr>
          <w:lang w:val="en-US"/>
        </w:rPr>
      </w:pPr>
    </w:p>
    <w:p w14:paraId="4207BCEE" w14:textId="3F19CFA6" w:rsidR="000F34C2" w:rsidRPr="000F34C2" w:rsidRDefault="000F34C2" w:rsidP="000D1396">
      <w:pPr>
        <w:jc w:val="both"/>
        <w:rPr>
          <w:u w:val="single"/>
          <w:lang w:eastAsia="en-GB"/>
        </w:rPr>
      </w:pPr>
      <w:r w:rsidRPr="000F34C2">
        <w:rPr>
          <w:u w:val="single"/>
          <w:lang w:eastAsia="en-GB"/>
        </w:rPr>
        <w:t>Remuneration</w:t>
      </w:r>
      <w:r w:rsidR="00F059A8">
        <w:rPr>
          <w:u w:val="single"/>
          <w:lang w:eastAsia="en-GB"/>
        </w:rPr>
        <w:t xml:space="preserve"> Policy</w:t>
      </w:r>
    </w:p>
    <w:p w14:paraId="2530E9E8" w14:textId="64319953" w:rsidR="0097414B" w:rsidRDefault="009B63E9" w:rsidP="000D1396">
      <w:pPr>
        <w:jc w:val="both"/>
        <w:rPr>
          <w:lang w:eastAsia="en-GB"/>
        </w:rPr>
      </w:pPr>
      <w:r>
        <w:rPr>
          <w:lang w:eastAsia="en-GB"/>
        </w:rPr>
        <w:t>W</w:t>
      </w:r>
      <w:r w:rsidR="00ED2135">
        <w:rPr>
          <w:lang w:eastAsia="en-GB"/>
        </w:rPr>
        <w:t xml:space="preserve">hen </w:t>
      </w:r>
      <w:r w:rsidR="0097414B" w:rsidRPr="00002A48">
        <w:rPr>
          <w:lang w:eastAsia="en-GB"/>
        </w:rPr>
        <w:t>determining a</w:t>
      </w:r>
      <w:r w:rsidR="00ED2135">
        <w:rPr>
          <w:lang w:eastAsia="en-GB"/>
        </w:rPr>
        <w:t xml:space="preserve">n </w:t>
      </w:r>
      <w:r w:rsidR="0097414B" w:rsidRPr="00002A48">
        <w:rPr>
          <w:lang w:eastAsia="en-GB"/>
        </w:rPr>
        <w:t>individual</w:t>
      </w:r>
      <w:r w:rsidR="00ED2135">
        <w:rPr>
          <w:lang w:eastAsia="en-GB"/>
        </w:rPr>
        <w:t>’s</w:t>
      </w:r>
      <w:r w:rsidR="00C65568" w:rsidRPr="00002A48">
        <w:rPr>
          <w:lang w:eastAsia="en-GB"/>
        </w:rPr>
        <w:t xml:space="preserve"> </w:t>
      </w:r>
      <w:r w:rsidR="00ED2135">
        <w:rPr>
          <w:lang w:eastAsia="en-GB"/>
        </w:rPr>
        <w:t xml:space="preserve">compensation, </w:t>
      </w:r>
      <w:r w:rsidR="0043372F">
        <w:rPr>
          <w:lang w:eastAsia="en-GB"/>
        </w:rPr>
        <w:t xml:space="preserve">Temporis takes </w:t>
      </w:r>
      <w:r w:rsidR="0097414B" w:rsidRPr="00002A48">
        <w:rPr>
          <w:lang w:eastAsia="en-GB"/>
        </w:rPr>
        <w:t xml:space="preserve">account </w:t>
      </w:r>
      <w:r w:rsidR="00641E17">
        <w:rPr>
          <w:lang w:eastAsia="en-GB"/>
        </w:rPr>
        <w:t xml:space="preserve">of its </w:t>
      </w:r>
      <w:r w:rsidR="0097414B" w:rsidRPr="00002A48">
        <w:rPr>
          <w:lang w:eastAsia="en-GB"/>
        </w:rPr>
        <w:t>ESG Investment Policy</w:t>
      </w:r>
      <w:r w:rsidR="00A83DB6">
        <w:rPr>
          <w:lang w:eastAsia="en-GB"/>
        </w:rPr>
        <w:t>, including sustainability risk management</w:t>
      </w:r>
      <w:r w:rsidR="0043372F">
        <w:rPr>
          <w:lang w:eastAsia="en-GB"/>
        </w:rPr>
        <w:t>,</w:t>
      </w:r>
      <w:r w:rsidR="0097414B" w:rsidRPr="00002A48">
        <w:rPr>
          <w:lang w:eastAsia="en-GB"/>
        </w:rPr>
        <w:t xml:space="preserve"> and whether there have been any instances of </w:t>
      </w:r>
      <w:r w:rsidR="00F059A8">
        <w:rPr>
          <w:lang w:eastAsia="en-GB"/>
        </w:rPr>
        <w:t xml:space="preserve">non-adherence </w:t>
      </w:r>
      <w:r w:rsidR="003A2881">
        <w:rPr>
          <w:lang w:eastAsia="en-GB"/>
        </w:rPr>
        <w:t xml:space="preserve">with the </w:t>
      </w:r>
      <w:r w:rsidR="0097414B" w:rsidRPr="00002A48">
        <w:rPr>
          <w:lang w:eastAsia="en-GB"/>
        </w:rPr>
        <w:t xml:space="preserve">Policy. </w:t>
      </w:r>
    </w:p>
    <w:p w14:paraId="4F1604E4" w14:textId="7BC7EFE2" w:rsidR="00DE746C" w:rsidRDefault="00DE746C" w:rsidP="004620F6">
      <w:pPr>
        <w:spacing w:after="0" w:line="240" w:lineRule="auto"/>
        <w:jc w:val="both"/>
        <w:rPr>
          <w:sz w:val="20"/>
          <w:szCs w:val="20"/>
        </w:rPr>
      </w:pPr>
    </w:p>
    <w:p w14:paraId="404AB9FF" w14:textId="77777777" w:rsidR="005D53C7" w:rsidRDefault="005D53C7" w:rsidP="004620F6">
      <w:pPr>
        <w:spacing w:after="0" w:line="240" w:lineRule="auto"/>
        <w:jc w:val="both"/>
        <w:rPr>
          <w:sz w:val="20"/>
          <w:szCs w:val="20"/>
        </w:rPr>
      </w:pPr>
    </w:p>
    <w:p w14:paraId="3339F5AF" w14:textId="72E145A0" w:rsidR="00002A48" w:rsidRDefault="00D85012" w:rsidP="004620F6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NOVEMBER </w:t>
      </w:r>
      <w:r w:rsidR="00002A48" w:rsidRPr="00A40EB1">
        <w:rPr>
          <w:b/>
          <w:bCs/>
        </w:rPr>
        <w:t>2021</w:t>
      </w:r>
    </w:p>
    <w:p w14:paraId="370C15CD" w14:textId="77777777" w:rsidR="0067711C" w:rsidRPr="00A40EB1" w:rsidRDefault="0067711C" w:rsidP="004620F6">
      <w:pPr>
        <w:spacing w:after="0" w:line="240" w:lineRule="auto"/>
        <w:jc w:val="both"/>
        <w:rPr>
          <w:b/>
          <w:bCs/>
        </w:rPr>
      </w:pPr>
    </w:p>
    <w:sectPr w:rsidR="0067711C" w:rsidRPr="00A40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E81"/>
    <w:multiLevelType w:val="hybridMultilevel"/>
    <w:tmpl w:val="50D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1574"/>
    <w:multiLevelType w:val="hybridMultilevel"/>
    <w:tmpl w:val="833C068A"/>
    <w:lvl w:ilvl="0" w:tplc="D6AAB9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628747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F925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4EAE2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CE78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CC03F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2066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304A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7986F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6B12925"/>
    <w:multiLevelType w:val="multilevel"/>
    <w:tmpl w:val="4266CAE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E44AC1"/>
    <w:multiLevelType w:val="hybridMultilevel"/>
    <w:tmpl w:val="9BC69F60"/>
    <w:lvl w:ilvl="0" w:tplc="A8A44BE0">
      <w:start w:val="1"/>
      <w:numFmt w:val="lowerRoman"/>
      <w:lvlText w:val="%1."/>
      <w:lvlJc w:val="righ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5678"/>
    <w:multiLevelType w:val="hybridMultilevel"/>
    <w:tmpl w:val="0010C8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535E4"/>
    <w:multiLevelType w:val="hybridMultilevel"/>
    <w:tmpl w:val="046626EE"/>
    <w:lvl w:ilvl="0" w:tplc="E2F2E4F4">
      <w:start w:val="1"/>
      <w:numFmt w:val="lowerRoman"/>
      <w:lvlText w:val="(%1)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6B57FE"/>
    <w:multiLevelType w:val="multilevel"/>
    <w:tmpl w:val="D9ECD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4C112D"/>
    <w:multiLevelType w:val="hybridMultilevel"/>
    <w:tmpl w:val="C1EE7A1A"/>
    <w:lvl w:ilvl="0" w:tplc="852ED3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526F1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9415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B042D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26C3E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5FC56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084C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C56B3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92CF1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4C564FE4"/>
    <w:multiLevelType w:val="hybridMultilevel"/>
    <w:tmpl w:val="0316B170"/>
    <w:lvl w:ilvl="0" w:tplc="75967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91D02"/>
    <w:multiLevelType w:val="hybridMultilevel"/>
    <w:tmpl w:val="CECE721C"/>
    <w:lvl w:ilvl="0" w:tplc="C3286846">
      <w:start w:val="1"/>
      <w:numFmt w:val="lowerRoman"/>
      <w:lvlText w:val="(%1)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9C64DD9"/>
    <w:multiLevelType w:val="hybridMultilevel"/>
    <w:tmpl w:val="80826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62541"/>
    <w:multiLevelType w:val="hybridMultilevel"/>
    <w:tmpl w:val="64FC84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442D10"/>
    <w:multiLevelType w:val="hybridMultilevel"/>
    <w:tmpl w:val="C106BE9A"/>
    <w:lvl w:ilvl="0" w:tplc="C7A453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74C73"/>
    <w:multiLevelType w:val="hybridMultilevel"/>
    <w:tmpl w:val="5C828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A54DE"/>
    <w:multiLevelType w:val="multilevel"/>
    <w:tmpl w:val="748EF5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color w:val="00457D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12"/>
  </w:num>
  <w:num w:numId="11">
    <w:abstractNumId w:val="2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85"/>
    <w:rsid w:val="000001ED"/>
    <w:rsid w:val="00002A48"/>
    <w:rsid w:val="000047AA"/>
    <w:rsid w:val="00013443"/>
    <w:rsid w:val="00014AA2"/>
    <w:rsid w:val="00017C2C"/>
    <w:rsid w:val="00020CE3"/>
    <w:rsid w:val="0002306D"/>
    <w:rsid w:val="00023BB6"/>
    <w:rsid w:val="00030FEB"/>
    <w:rsid w:val="00031960"/>
    <w:rsid w:val="00042421"/>
    <w:rsid w:val="00052DF1"/>
    <w:rsid w:val="00060D2D"/>
    <w:rsid w:val="00063712"/>
    <w:rsid w:val="00063F99"/>
    <w:rsid w:val="000645A0"/>
    <w:rsid w:val="00071426"/>
    <w:rsid w:val="00077E11"/>
    <w:rsid w:val="00081480"/>
    <w:rsid w:val="0008248F"/>
    <w:rsid w:val="000870CE"/>
    <w:rsid w:val="0009047E"/>
    <w:rsid w:val="00093E3A"/>
    <w:rsid w:val="00095A86"/>
    <w:rsid w:val="000A029F"/>
    <w:rsid w:val="000A5804"/>
    <w:rsid w:val="000A61C8"/>
    <w:rsid w:val="000B05D4"/>
    <w:rsid w:val="000B2187"/>
    <w:rsid w:val="000B3315"/>
    <w:rsid w:val="000B6E86"/>
    <w:rsid w:val="000C449D"/>
    <w:rsid w:val="000D00C8"/>
    <w:rsid w:val="000D1396"/>
    <w:rsid w:val="000D2AC0"/>
    <w:rsid w:val="000D2F64"/>
    <w:rsid w:val="000E03FA"/>
    <w:rsid w:val="000E2E39"/>
    <w:rsid w:val="000E5564"/>
    <w:rsid w:val="000F1625"/>
    <w:rsid w:val="000F34C2"/>
    <w:rsid w:val="000F39B5"/>
    <w:rsid w:val="000F3B77"/>
    <w:rsid w:val="000F43F1"/>
    <w:rsid w:val="000F6681"/>
    <w:rsid w:val="001014E8"/>
    <w:rsid w:val="00103D80"/>
    <w:rsid w:val="001114A0"/>
    <w:rsid w:val="001115F3"/>
    <w:rsid w:val="0011726D"/>
    <w:rsid w:val="001177CD"/>
    <w:rsid w:val="00124D17"/>
    <w:rsid w:val="00124F52"/>
    <w:rsid w:val="00125FED"/>
    <w:rsid w:val="001264A2"/>
    <w:rsid w:val="0012741C"/>
    <w:rsid w:val="00134542"/>
    <w:rsid w:val="00135BB4"/>
    <w:rsid w:val="00151E10"/>
    <w:rsid w:val="00157871"/>
    <w:rsid w:val="00160D2E"/>
    <w:rsid w:val="00163654"/>
    <w:rsid w:val="00164E35"/>
    <w:rsid w:val="00167BF4"/>
    <w:rsid w:val="0017121E"/>
    <w:rsid w:val="00172CA0"/>
    <w:rsid w:val="001809E6"/>
    <w:rsid w:val="001813C7"/>
    <w:rsid w:val="00186177"/>
    <w:rsid w:val="00190538"/>
    <w:rsid w:val="00193A10"/>
    <w:rsid w:val="0019624A"/>
    <w:rsid w:val="001A2A92"/>
    <w:rsid w:val="001A6EFD"/>
    <w:rsid w:val="001A6F8B"/>
    <w:rsid w:val="001B2E97"/>
    <w:rsid w:val="001B45A9"/>
    <w:rsid w:val="001C20D2"/>
    <w:rsid w:val="001D2521"/>
    <w:rsid w:val="001D35E8"/>
    <w:rsid w:val="001E059F"/>
    <w:rsid w:val="001E5294"/>
    <w:rsid w:val="001F3F84"/>
    <w:rsid w:val="001F4240"/>
    <w:rsid w:val="001F652F"/>
    <w:rsid w:val="001F6C51"/>
    <w:rsid w:val="002056A7"/>
    <w:rsid w:val="00211B9F"/>
    <w:rsid w:val="00217F45"/>
    <w:rsid w:val="002214E7"/>
    <w:rsid w:val="00230AFE"/>
    <w:rsid w:val="00232FCD"/>
    <w:rsid w:val="00240BFA"/>
    <w:rsid w:val="00244480"/>
    <w:rsid w:val="0024617A"/>
    <w:rsid w:val="00252C1F"/>
    <w:rsid w:val="00260E0D"/>
    <w:rsid w:val="0026366E"/>
    <w:rsid w:val="00264D12"/>
    <w:rsid w:val="00264EEA"/>
    <w:rsid w:val="002726E0"/>
    <w:rsid w:val="00273960"/>
    <w:rsid w:val="0028093D"/>
    <w:rsid w:val="002816A3"/>
    <w:rsid w:val="00283628"/>
    <w:rsid w:val="00283D43"/>
    <w:rsid w:val="002A4F64"/>
    <w:rsid w:val="002A55D4"/>
    <w:rsid w:val="002A60A7"/>
    <w:rsid w:val="002A751F"/>
    <w:rsid w:val="002B0021"/>
    <w:rsid w:val="002B217A"/>
    <w:rsid w:val="002B3369"/>
    <w:rsid w:val="002B6DB9"/>
    <w:rsid w:val="002C0872"/>
    <w:rsid w:val="002C10FF"/>
    <w:rsid w:val="002C2A51"/>
    <w:rsid w:val="002C4A0C"/>
    <w:rsid w:val="002D1BEA"/>
    <w:rsid w:val="002D31D9"/>
    <w:rsid w:val="002D4331"/>
    <w:rsid w:val="002D4CB9"/>
    <w:rsid w:val="002D6490"/>
    <w:rsid w:val="002D6A82"/>
    <w:rsid w:val="002D6A95"/>
    <w:rsid w:val="002E0416"/>
    <w:rsid w:val="002E34E0"/>
    <w:rsid w:val="002E51B2"/>
    <w:rsid w:val="002F2286"/>
    <w:rsid w:val="002F59D8"/>
    <w:rsid w:val="00301D7C"/>
    <w:rsid w:val="00302B81"/>
    <w:rsid w:val="00303F1C"/>
    <w:rsid w:val="00312B66"/>
    <w:rsid w:val="003139B8"/>
    <w:rsid w:val="00313A5D"/>
    <w:rsid w:val="003172FD"/>
    <w:rsid w:val="00317AA7"/>
    <w:rsid w:val="00330675"/>
    <w:rsid w:val="0033745D"/>
    <w:rsid w:val="0033794E"/>
    <w:rsid w:val="00341274"/>
    <w:rsid w:val="00341B18"/>
    <w:rsid w:val="00342515"/>
    <w:rsid w:val="003479E2"/>
    <w:rsid w:val="00353D67"/>
    <w:rsid w:val="00355708"/>
    <w:rsid w:val="00360B08"/>
    <w:rsid w:val="00364FD2"/>
    <w:rsid w:val="00372025"/>
    <w:rsid w:val="00373E21"/>
    <w:rsid w:val="003766B9"/>
    <w:rsid w:val="00380652"/>
    <w:rsid w:val="00380B74"/>
    <w:rsid w:val="003845F8"/>
    <w:rsid w:val="00386385"/>
    <w:rsid w:val="00392BF8"/>
    <w:rsid w:val="00392E4B"/>
    <w:rsid w:val="00397B6D"/>
    <w:rsid w:val="003A2881"/>
    <w:rsid w:val="003A3792"/>
    <w:rsid w:val="003A3E35"/>
    <w:rsid w:val="003B49EA"/>
    <w:rsid w:val="003B57BD"/>
    <w:rsid w:val="003B6A1E"/>
    <w:rsid w:val="003C1ED6"/>
    <w:rsid w:val="003C2FCB"/>
    <w:rsid w:val="003D117F"/>
    <w:rsid w:val="003D2439"/>
    <w:rsid w:val="003D2AD2"/>
    <w:rsid w:val="003D4247"/>
    <w:rsid w:val="003D4D4A"/>
    <w:rsid w:val="003D6721"/>
    <w:rsid w:val="003D6845"/>
    <w:rsid w:val="003D748E"/>
    <w:rsid w:val="003E0F59"/>
    <w:rsid w:val="003E25D8"/>
    <w:rsid w:val="003F3D36"/>
    <w:rsid w:val="003F5591"/>
    <w:rsid w:val="003F5D3D"/>
    <w:rsid w:val="00403EEC"/>
    <w:rsid w:val="004141E5"/>
    <w:rsid w:val="00416D5D"/>
    <w:rsid w:val="00421010"/>
    <w:rsid w:val="00432581"/>
    <w:rsid w:val="0043372F"/>
    <w:rsid w:val="00434A96"/>
    <w:rsid w:val="00434C2C"/>
    <w:rsid w:val="00434EF9"/>
    <w:rsid w:val="00442572"/>
    <w:rsid w:val="0045250A"/>
    <w:rsid w:val="004568EE"/>
    <w:rsid w:val="00457403"/>
    <w:rsid w:val="004620F6"/>
    <w:rsid w:val="00462A40"/>
    <w:rsid w:val="00462BA4"/>
    <w:rsid w:val="0047323F"/>
    <w:rsid w:val="00475954"/>
    <w:rsid w:val="0047744C"/>
    <w:rsid w:val="004803F7"/>
    <w:rsid w:val="0048262B"/>
    <w:rsid w:val="00492ED7"/>
    <w:rsid w:val="004A1615"/>
    <w:rsid w:val="004A1E99"/>
    <w:rsid w:val="004A341A"/>
    <w:rsid w:val="004A535F"/>
    <w:rsid w:val="004B0C00"/>
    <w:rsid w:val="004B196A"/>
    <w:rsid w:val="004B408D"/>
    <w:rsid w:val="004C4313"/>
    <w:rsid w:val="004C5584"/>
    <w:rsid w:val="004C6E14"/>
    <w:rsid w:val="004C7B2E"/>
    <w:rsid w:val="004D1BEF"/>
    <w:rsid w:val="004D2F20"/>
    <w:rsid w:val="004D302B"/>
    <w:rsid w:val="004D37C2"/>
    <w:rsid w:val="004D3ABC"/>
    <w:rsid w:val="004E2F4B"/>
    <w:rsid w:val="004E394B"/>
    <w:rsid w:val="004E70BB"/>
    <w:rsid w:val="004F6A07"/>
    <w:rsid w:val="004F73D9"/>
    <w:rsid w:val="005028EE"/>
    <w:rsid w:val="00502937"/>
    <w:rsid w:val="00510D49"/>
    <w:rsid w:val="00537354"/>
    <w:rsid w:val="00545D12"/>
    <w:rsid w:val="00551F1D"/>
    <w:rsid w:val="00552B3B"/>
    <w:rsid w:val="0056427D"/>
    <w:rsid w:val="005644C6"/>
    <w:rsid w:val="00565042"/>
    <w:rsid w:val="00566664"/>
    <w:rsid w:val="005715EC"/>
    <w:rsid w:val="005764A7"/>
    <w:rsid w:val="00582FED"/>
    <w:rsid w:val="005A16F2"/>
    <w:rsid w:val="005A17D6"/>
    <w:rsid w:val="005A260D"/>
    <w:rsid w:val="005A56D6"/>
    <w:rsid w:val="005B55B8"/>
    <w:rsid w:val="005C051E"/>
    <w:rsid w:val="005C1DCB"/>
    <w:rsid w:val="005C7A08"/>
    <w:rsid w:val="005C7E03"/>
    <w:rsid w:val="005D12EE"/>
    <w:rsid w:val="005D23C6"/>
    <w:rsid w:val="005D499F"/>
    <w:rsid w:val="005D53C7"/>
    <w:rsid w:val="005E53C0"/>
    <w:rsid w:val="005E6A6E"/>
    <w:rsid w:val="005F366F"/>
    <w:rsid w:val="006010C9"/>
    <w:rsid w:val="0060429D"/>
    <w:rsid w:val="0060537E"/>
    <w:rsid w:val="006062F2"/>
    <w:rsid w:val="00607E74"/>
    <w:rsid w:val="00610223"/>
    <w:rsid w:val="00621456"/>
    <w:rsid w:val="00623285"/>
    <w:rsid w:val="006317DB"/>
    <w:rsid w:val="00635CA5"/>
    <w:rsid w:val="006405AD"/>
    <w:rsid w:val="00641E17"/>
    <w:rsid w:val="00642002"/>
    <w:rsid w:val="00642787"/>
    <w:rsid w:val="006435AE"/>
    <w:rsid w:val="00650698"/>
    <w:rsid w:val="006520EF"/>
    <w:rsid w:val="0066005F"/>
    <w:rsid w:val="006624CF"/>
    <w:rsid w:val="0067167A"/>
    <w:rsid w:val="0067711C"/>
    <w:rsid w:val="00690148"/>
    <w:rsid w:val="006966EB"/>
    <w:rsid w:val="006A41DE"/>
    <w:rsid w:val="006A5F5E"/>
    <w:rsid w:val="006A79BB"/>
    <w:rsid w:val="006B068E"/>
    <w:rsid w:val="006B1F2D"/>
    <w:rsid w:val="006B2988"/>
    <w:rsid w:val="006B40EA"/>
    <w:rsid w:val="006B458E"/>
    <w:rsid w:val="006B64D5"/>
    <w:rsid w:val="006C0697"/>
    <w:rsid w:val="006C6FF5"/>
    <w:rsid w:val="006D0052"/>
    <w:rsid w:val="006E40EF"/>
    <w:rsid w:val="006E57E2"/>
    <w:rsid w:val="006F44C9"/>
    <w:rsid w:val="00702984"/>
    <w:rsid w:val="00703934"/>
    <w:rsid w:val="007049AC"/>
    <w:rsid w:val="0072548B"/>
    <w:rsid w:val="00730837"/>
    <w:rsid w:val="007309D6"/>
    <w:rsid w:val="0074104C"/>
    <w:rsid w:val="00741E77"/>
    <w:rsid w:val="007427AB"/>
    <w:rsid w:val="007451EE"/>
    <w:rsid w:val="00753155"/>
    <w:rsid w:val="007554E0"/>
    <w:rsid w:val="00755E33"/>
    <w:rsid w:val="00757B44"/>
    <w:rsid w:val="00763D0F"/>
    <w:rsid w:val="0076768C"/>
    <w:rsid w:val="00772D65"/>
    <w:rsid w:val="0077408D"/>
    <w:rsid w:val="00775D42"/>
    <w:rsid w:val="00787141"/>
    <w:rsid w:val="00797B7F"/>
    <w:rsid w:val="00797F2A"/>
    <w:rsid w:val="007A0C3D"/>
    <w:rsid w:val="007A0E8D"/>
    <w:rsid w:val="007A3698"/>
    <w:rsid w:val="007A5596"/>
    <w:rsid w:val="007A5F3E"/>
    <w:rsid w:val="007A6660"/>
    <w:rsid w:val="007A7E96"/>
    <w:rsid w:val="007B27D6"/>
    <w:rsid w:val="007B6C69"/>
    <w:rsid w:val="007D0493"/>
    <w:rsid w:val="007D0CAC"/>
    <w:rsid w:val="007D670E"/>
    <w:rsid w:val="007D6E7B"/>
    <w:rsid w:val="007E05B3"/>
    <w:rsid w:val="007E2195"/>
    <w:rsid w:val="007F0175"/>
    <w:rsid w:val="00802A99"/>
    <w:rsid w:val="008055C1"/>
    <w:rsid w:val="00806331"/>
    <w:rsid w:val="0080692D"/>
    <w:rsid w:val="00810A25"/>
    <w:rsid w:val="0081535E"/>
    <w:rsid w:val="00817829"/>
    <w:rsid w:val="00823A56"/>
    <w:rsid w:val="00827703"/>
    <w:rsid w:val="00827B02"/>
    <w:rsid w:val="00832C18"/>
    <w:rsid w:val="008330A1"/>
    <w:rsid w:val="0084000D"/>
    <w:rsid w:val="008413E2"/>
    <w:rsid w:val="008433FC"/>
    <w:rsid w:val="00844019"/>
    <w:rsid w:val="00850D6F"/>
    <w:rsid w:val="008518AE"/>
    <w:rsid w:val="00857D4A"/>
    <w:rsid w:val="008724A3"/>
    <w:rsid w:val="00880324"/>
    <w:rsid w:val="008831AC"/>
    <w:rsid w:val="00896A9F"/>
    <w:rsid w:val="008A218C"/>
    <w:rsid w:val="008A2621"/>
    <w:rsid w:val="008A5E62"/>
    <w:rsid w:val="008C2043"/>
    <w:rsid w:val="008C4A38"/>
    <w:rsid w:val="008C5BA8"/>
    <w:rsid w:val="008C668C"/>
    <w:rsid w:val="008C7837"/>
    <w:rsid w:val="008D0E05"/>
    <w:rsid w:val="008D3BB7"/>
    <w:rsid w:val="008D4E74"/>
    <w:rsid w:val="008D5804"/>
    <w:rsid w:val="008D61C1"/>
    <w:rsid w:val="008E6D1B"/>
    <w:rsid w:val="008E7304"/>
    <w:rsid w:val="008E770F"/>
    <w:rsid w:val="008E7B5E"/>
    <w:rsid w:val="008F1F77"/>
    <w:rsid w:val="008F3F20"/>
    <w:rsid w:val="008F585F"/>
    <w:rsid w:val="008F632E"/>
    <w:rsid w:val="008F7663"/>
    <w:rsid w:val="00901290"/>
    <w:rsid w:val="00901EB1"/>
    <w:rsid w:val="00903152"/>
    <w:rsid w:val="00903CBF"/>
    <w:rsid w:val="009050A3"/>
    <w:rsid w:val="00911272"/>
    <w:rsid w:val="00911985"/>
    <w:rsid w:val="0091744E"/>
    <w:rsid w:val="00917B5A"/>
    <w:rsid w:val="009223F8"/>
    <w:rsid w:val="00930B36"/>
    <w:rsid w:val="009315B5"/>
    <w:rsid w:val="00932E5E"/>
    <w:rsid w:val="00936F58"/>
    <w:rsid w:val="0094626A"/>
    <w:rsid w:val="009467C4"/>
    <w:rsid w:val="00950393"/>
    <w:rsid w:val="00955255"/>
    <w:rsid w:val="0095585B"/>
    <w:rsid w:val="00956314"/>
    <w:rsid w:val="00963F4E"/>
    <w:rsid w:val="009653E9"/>
    <w:rsid w:val="0097414B"/>
    <w:rsid w:val="00975202"/>
    <w:rsid w:val="00976FEA"/>
    <w:rsid w:val="009805E7"/>
    <w:rsid w:val="0098383C"/>
    <w:rsid w:val="00984D42"/>
    <w:rsid w:val="0098528C"/>
    <w:rsid w:val="00985727"/>
    <w:rsid w:val="009922E3"/>
    <w:rsid w:val="009A1321"/>
    <w:rsid w:val="009B045F"/>
    <w:rsid w:val="009B0E97"/>
    <w:rsid w:val="009B63E9"/>
    <w:rsid w:val="009C04FA"/>
    <w:rsid w:val="009D22BB"/>
    <w:rsid w:val="009D3A8A"/>
    <w:rsid w:val="009D3E00"/>
    <w:rsid w:val="009D3FCA"/>
    <w:rsid w:val="009E2A8C"/>
    <w:rsid w:val="009F69DE"/>
    <w:rsid w:val="00A01F79"/>
    <w:rsid w:val="00A01FD1"/>
    <w:rsid w:val="00A15732"/>
    <w:rsid w:val="00A168D9"/>
    <w:rsid w:val="00A208C0"/>
    <w:rsid w:val="00A2516E"/>
    <w:rsid w:val="00A27D0E"/>
    <w:rsid w:val="00A40EB1"/>
    <w:rsid w:val="00A44095"/>
    <w:rsid w:val="00A465C0"/>
    <w:rsid w:val="00A46EBC"/>
    <w:rsid w:val="00A47B47"/>
    <w:rsid w:val="00A502DA"/>
    <w:rsid w:val="00A514CC"/>
    <w:rsid w:val="00A535F9"/>
    <w:rsid w:val="00A56966"/>
    <w:rsid w:val="00A639F1"/>
    <w:rsid w:val="00A6454E"/>
    <w:rsid w:val="00A71AE0"/>
    <w:rsid w:val="00A71B85"/>
    <w:rsid w:val="00A75600"/>
    <w:rsid w:val="00A811BF"/>
    <w:rsid w:val="00A83DB6"/>
    <w:rsid w:val="00A90127"/>
    <w:rsid w:val="00A913CD"/>
    <w:rsid w:val="00A9299D"/>
    <w:rsid w:val="00A93DAA"/>
    <w:rsid w:val="00A96254"/>
    <w:rsid w:val="00AA03A5"/>
    <w:rsid w:val="00AA1B5D"/>
    <w:rsid w:val="00AB13EC"/>
    <w:rsid w:val="00AB1696"/>
    <w:rsid w:val="00AB3CC6"/>
    <w:rsid w:val="00AC1B3D"/>
    <w:rsid w:val="00AC4350"/>
    <w:rsid w:val="00AD2E7F"/>
    <w:rsid w:val="00AD55A0"/>
    <w:rsid w:val="00AD66FC"/>
    <w:rsid w:val="00AE1114"/>
    <w:rsid w:val="00AE5EC5"/>
    <w:rsid w:val="00AF0854"/>
    <w:rsid w:val="00AF1737"/>
    <w:rsid w:val="00AF2566"/>
    <w:rsid w:val="00AF7008"/>
    <w:rsid w:val="00B001A3"/>
    <w:rsid w:val="00B01435"/>
    <w:rsid w:val="00B13760"/>
    <w:rsid w:val="00B14617"/>
    <w:rsid w:val="00B14EF9"/>
    <w:rsid w:val="00B24865"/>
    <w:rsid w:val="00B6066F"/>
    <w:rsid w:val="00B656D9"/>
    <w:rsid w:val="00B71A3D"/>
    <w:rsid w:val="00B76709"/>
    <w:rsid w:val="00B81504"/>
    <w:rsid w:val="00B86617"/>
    <w:rsid w:val="00B86AC6"/>
    <w:rsid w:val="00B90674"/>
    <w:rsid w:val="00B917EE"/>
    <w:rsid w:val="00B95919"/>
    <w:rsid w:val="00BA7B26"/>
    <w:rsid w:val="00BB36BB"/>
    <w:rsid w:val="00BB5375"/>
    <w:rsid w:val="00BB5CE6"/>
    <w:rsid w:val="00BB5F71"/>
    <w:rsid w:val="00BB668C"/>
    <w:rsid w:val="00BC07B3"/>
    <w:rsid w:val="00BC4BD2"/>
    <w:rsid w:val="00BC58D6"/>
    <w:rsid w:val="00BC677A"/>
    <w:rsid w:val="00BC7AFB"/>
    <w:rsid w:val="00BD541A"/>
    <w:rsid w:val="00BE39FC"/>
    <w:rsid w:val="00BF5712"/>
    <w:rsid w:val="00BF6473"/>
    <w:rsid w:val="00C058AC"/>
    <w:rsid w:val="00C13348"/>
    <w:rsid w:val="00C227A5"/>
    <w:rsid w:val="00C244FB"/>
    <w:rsid w:val="00C2765B"/>
    <w:rsid w:val="00C3742F"/>
    <w:rsid w:val="00C40E05"/>
    <w:rsid w:val="00C521D0"/>
    <w:rsid w:val="00C53AFB"/>
    <w:rsid w:val="00C5690C"/>
    <w:rsid w:val="00C63D0F"/>
    <w:rsid w:val="00C65568"/>
    <w:rsid w:val="00C67F64"/>
    <w:rsid w:val="00C823F3"/>
    <w:rsid w:val="00C82956"/>
    <w:rsid w:val="00C83D57"/>
    <w:rsid w:val="00C85122"/>
    <w:rsid w:val="00C87CA2"/>
    <w:rsid w:val="00C92B74"/>
    <w:rsid w:val="00C94FDB"/>
    <w:rsid w:val="00C96004"/>
    <w:rsid w:val="00C96327"/>
    <w:rsid w:val="00CB49C0"/>
    <w:rsid w:val="00CB4AA3"/>
    <w:rsid w:val="00CB526E"/>
    <w:rsid w:val="00CC2C93"/>
    <w:rsid w:val="00CC36DB"/>
    <w:rsid w:val="00CE02CA"/>
    <w:rsid w:val="00CE267C"/>
    <w:rsid w:val="00CE3F6F"/>
    <w:rsid w:val="00CF0EE4"/>
    <w:rsid w:val="00CF1016"/>
    <w:rsid w:val="00CF2921"/>
    <w:rsid w:val="00CF3F54"/>
    <w:rsid w:val="00CF671B"/>
    <w:rsid w:val="00CF701E"/>
    <w:rsid w:val="00D06326"/>
    <w:rsid w:val="00D07767"/>
    <w:rsid w:val="00D07816"/>
    <w:rsid w:val="00D12612"/>
    <w:rsid w:val="00D26B6F"/>
    <w:rsid w:val="00D309FF"/>
    <w:rsid w:val="00D3684D"/>
    <w:rsid w:val="00D4169D"/>
    <w:rsid w:val="00D42874"/>
    <w:rsid w:val="00D42D11"/>
    <w:rsid w:val="00D445F6"/>
    <w:rsid w:val="00D45096"/>
    <w:rsid w:val="00D45564"/>
    <w:rsid w:val="00D61731"/>
    <w:rsid w:val="00D64B0F"/>
    <w:rsid w:val="00D67FFA"/>
    <w:rsid w:val="00D81F1B"/>
    <w:rsid w:val="00D85012"/>
    <w:rsid w:val="00D918D4"/>
    <w:rsid w:val="00D9300B"/>
    <w:rsid w:val="00DA3DF7"/>
    <w:rsid w:val="00DA42AA"/>
    <w:rsid w:val="00DB342B"/>
    <w:rsid w:val="00DB5CDD"/>
    <w:rsid w:val="00DB71A5"/>
    <w:rsid w:val="00DC26B0"/>
    <w:rsid w:val="00DD1F31"/>
    <w:rsid w:val="00DD3CF0"/>
    <w:rsid w:val="00DD6A9F"/>
    <w:rsid w:val="00DE746C"/>
    <w:rsid w:val="00DF088A"/>
    <w:rsid w:val="00DF2839"/>
    <w:rsid w:val="00E01913"/>
    <w:rsid w:val="00E06023"/>
    <w:rsid w:val="00E137BD"/>
    <w:rsid w:val="00E236C0"/>
    <w:rsid w:val="00E25B83"/>
    <w:rsid w:val="00E275F8"/>
    <w:rsid w:val="00E32817"/>
    <w:rsid w:val="00E4235D"/>
    <w:rsid w:val="00E4585C"/>
    <w:rsid w:val="00E50E65"/>
    <w:rsid w:val="00E5434D"/>
    <w:rsid w:val="00E56F29"/>
    <w:rsid w:val="00E60812"/>
    <w:rsid w:val="00E72622"/>
    <w:rsid w:val="00E754AC"/>
    <w:rsid w:val="00E76BC1"/>
    <w:rsid w:val="00E77EA5"/>
    <w:rsid w:val="00E84E79"/>
    <w:rsid w:val="00E87B21"/>
    <w:rsid w:val="00EA07CD"/>
    <w:rsid w:val="00EB03D8"/>
    <w:rsid w:val="00EB2157"/>
    <w:rsid w:val="00EB5731"/>
    <w:rsid w:val="00EB66BF"/>
    <w:rsid w:val="00EB694B"/>
    <w:rsid w:val="00EB7157"/>
    <w:rsid w:val="00EC014A"/>
    <w:rsid w:val="00EC1E6D"/>
    <w:rsid w:val="00EC35B0"/>
    <w:rsid w:val="00ED0465"/>
    <w:rsid w:val="00ED2135"/>
    <w:rsid w:val="00ED41CB"/>
    <w:rsid w:val="00EE12F4"/>
    <w:rsid w:val="00EE3E5F"/>
    <w:rsid w:val="00EE442C"/>
    <w:rsid w:val="00EE4D35"/>
    <w:rsid w:val="00EF5FA3"/>
    <w:rsid w:val="00EF72D5"/>
    <w:rsid w:val="00F04165"/>
    <w:rsid w:val="00F059A8"/>
    <w:rsid w:val="00F05B14"/>
    <w:rsid w:val="00F12A98"/>
    <w:rsid w:val="00F20EE2"/>
    <w:rsid w:val="00F24799"/>
    <w:rsid w:val="00F24CC7"/>
    <w:rsid w:val="00F34DCC"/>
    <w:rsid w:val="00F34EAF"/>
    <w:rsid w:val="00F35621"/>
    <w:rsid w:val="00F43F44"/>
    <w:rsid w:val="00F456EC"/>
    <w:rsid w:val="00F473AC"/>
    <w:rsid w:val="00F53833"/>
    <w:rsid w:val="00F54802"/>
    <w:rsid w:val="00F56D2D"/>
    <w:rsid w:val="00F57FC5"/>
    <w:rsid w:val="00F666A9"/>
    <w:rsid w:val="00F670DD"/>
    <w:rsid w:val="00F72991"/>
    <w:rsid w:val="00F72A75"/>
    <w:rsid w:val="00F74F23"/>
    <w:rsid w:val="00F75DED"/>
    <w:rsid w:val="00F76C94"/>
    <w:rsid w:val="00F825D1"/>
    <w:rsid w:val="00F82910"/>
    <w:rsid w:val="00F87A53"/>
    <w:rsid w:val="00F9610F"/>
    <w:rsid w:val="00F96EF2"/>
    <w:rsid w:val="00FA5392"/>
    <w:rsid w:val="00FA5944"/>
    <w:rsid w:val="00FB1080"/>
    <w:rsid w:val="00FB1DB9"/>
    <w:rsid w:val="00FB5308"/>
    <w:rsid w:val="00FB5F02"/>
    <w:rsid w:val="00FC1707"/>
    <w:rsid w:val="00FC30F3"/>
    <w:rsid w:val="00FC5082"/>
    <w:rsid w:val="00FC5CA9"/>
    <w:rsid w:val="00FC5E90"/>
    <w:rsid w:val="00FC6A78"/>
    <w:rsid w:val="00FD1BEC"/>
    <w:rsid w:val="00FD6C06"/>
    <w:rsid w:val="00FE3B2D"/>
    <w:rsid w:val="00FF18F3"/>
    <w:rsid w:val="00FF27C8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3A46"/>
  <w15:chartTrackingRefBased/>
  <w15:docId w15:val="{DC8D3F3F-05B0-48D9-B837-3A7B331F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B8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D07816"/>
    <w:pPr>
      <w:keepNext/>
      <w:numPr>
        <w:numId w:val="14"/>
      </w:numPr>
      <w:spacing w:after="220" w:line="480" w:lineRule="atLeast"/>
      <w:outlineLvl w:val="0"/>
    </w:pPr>
    <w:rPr>
      <w:rFonts w:ascii="Arial" w:eastAsia="Times New Roman" w:hAnsi="Arial" w:cs="Arial"/>
      <w:bCs/>
      <w:color w:val="00457D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7816"/>
    <w:pPr>
      <w:keepNext/>
      <w:numPr>
        <w:ilvl w:val="1"/>
        <w:numId w:val="14"/>
      </w:numPr>
      <w:spacing w:line="400" w:lineRule="atLeast"/>
      <w:outlineLvl w:val="1"/>
    </w:pPr>
    <w:rPr>
      <w:rFonts w:ascii="Arial" w:eastAsia="Times New Roman" w:hAnsi="Arial" w:cs="Arial"/>
      <w:bCs/>
      <w:iCs/>
      <w:color w:val="00B5DD"/>
      <w:sz w:val="32"/>
      <w:szCs w:val="28"/>
    </w:rPr>
  </w:style>
  <w:style w:type="paragraph" w:styleId="Heading3">
    <w:name w:val="heading 3"/>
    <w:basedOn w:val="Heading2"/>
    <w:next w:val="Normal"/>
    <w:link w:val="Heading3Char"/>
    <w:semiHidden/>
    <w:unhideWhenUsed/>
    <w:qFormat/>
    <w:rsid w:val="00D07816"/>
    <w:pPr>
      <w:numPr>
        <w:ilvl w:val="2"/>
      </w:numPr>
      <w:spacing w:after="150" w:line="300" w:lineRule="atLeast"/>
      <w:outlineLvl w:val="2"/>
    </w:pPr>
    <w:rPr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07816"/>
    <w:pPr>
      <w:keepNext/>
      <w:numPr>
        <w:ilvl w:val="3"/>
        <w:numId w:val="14"/>
      </w:numPr>
      <w:spacing w:before="240" w:after="60" w:line="260" w:lineRule="atLeast"/>
      <w:outlineLvl w:val="3"/>
    </w:pPr>
    <w:rPr>
      <w:rFonts w:ascii="Arial" w:eastAsia="Times New Roman" w:hAnsi="Arial" w:cs="Times New Roman"/>
      <w:bCs/>
      <w:color w:val="00B5DD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07816"/>
    <w:pPr>
      <w:numPr>
        <w:ilvl w:val="4"/>
        <w:numId w:val="14"/>
      </w:numPr>
      <w:spacing w:before="240" w:after="60" w:line="260" w:lineRule="atLeast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07816"/>
    <w:pPr>
      <w:numPr>
        <w:ilvl w:val="5"/>
        <w:numId w:val="14"/>
      </w:numPr>
      <w:spacing w:before="240" w:after="60" w:line="260" w:lineRule="atLeast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07816"/>
    <w:pPr>
      <w:numPr>
        <w:ilvl w:val="6"/>
        <w:numId w:val="14"/>
      </w:numPr>
      <w:spacing w:before="240" w:after="60" w:line="260" w:lineRule="atLeast"/>
      <w:outlineLvl w:val="6"/>
    </w:pPr>
    <w:rPr>
      <w:rFonts w:ascii="Times New Roman" w:eastAsia="Times New Roman" w:hAnsi="Times New Roman" w:cs="Times New Roman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07816"/>
    <w:pPr>
      <w:numPr>
        <w:ilvl w:val="7"/>
        <w:numId w:val="14"/>
      </w:numPr>
      <w:spacing w:before="240" w:after="60" w:line="260" w:lineRule="atLeast"/>
      <w:outlineLvl w:val="7"/>
    </w:pPr>
    <w:rPr>
      <w:rFonts w:ascii="Times New Roman" w:eastAsia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07816"/>
    <w:pPr>
      <w:numPr>
        <w:ilvl w:val="8"/>
        <w:numId w:val="14"/>
      </w:numPr>
      <w:spacing w:before="240" w:after="60" w:line="260" w:lineRule="atLeast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A71B8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1B85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71B85"/>
  </w:style>
  <w:style w:type="paragraph" w:styleId="ListParagraph">
    <w:name w:val="List Paragraph"/>
    <w:basedOn w:val="Normal"/>
    <w:link w:val="ListParagraphChar"/>
    <w:uiPriority w:val="34"/>
    <w:qFormat/>
    <w:rsid w:val="00A71B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1B85"/>
    <w:rPr>
      <w:sz w:val="16"/>
      <w:szCs w:val="16"/>
    </w:rPr>
  </w:style>
  <w:style w:type="table" w:styleId="TableGrid">
    <w:name w:val="Table Grid"/>
    <w:basedOn w:val="TableNormal"/>
    <w:rsid w:val="00A71B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6314"/>
    <w:pPr>
      <w:spacing w:after="0" w:line="240" w:lineRule="auto"/>
    </w:pPr>
  </w:style>
  <w:style w:type="paragraph" w:styleId="NormalWeb">
    <w:name w:val="Normal (Web)"/>
    <w:basedOn w:val="Normal"/>
    <w:uiPriority w:val="99"/>
    <w:rsid w:val="0060537E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D07816"/>
    <w:rPr>
      <w:rFonts w:ascii="Arial" w:eastAsia="Times New Roman" w:hAnsi="Arial" w:cs="Arial"/>
      <w:bCs/>
      <w:color w:val="00457D"/>
      <w:kern w:val="32"/>
      <w:sz w:val="44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D07816"/>
    <w:rPr>
      <w:rFonts w:ascii="Arial" w:eastAsia="Times New Roman" w:hAnsi="Arial" w:cs="Arial"/>
      <w:bCs/>
      <w:iCs/>
      <w:color w:val="00B5DD"/>
      <w:sz w:val="32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D07816"/>
    <w:rPr>
      <w:rFonts w:ascii="Arial" w:eastAsia="Times New Roman" w:hAnsi="Arial" w:cs="Arial"/>
      <w:iCs/>
      <w:color w:val="00B5DD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D07816"/>
    <w:rPr>
      <w:rFonts w:ascii="Arial" w:eastAsia="Times New Roman" w:hAnsi="Arial" w:cs="Times New Roman"/>
      <w:bCs/>
      <w:color w:val="00B5DD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D07816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D0781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D07816"/>
    <w:rPr>
      <w:rFonts w:ascii="Times New Roman" w:eastAsia="Times New Roman" w:hAnsi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07816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07816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CF0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C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625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771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77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C9AE83360814EBD0030DDA91AD378" ma:contentTypeVersion="12" ma:contentTypeDescription="Create a new document." ma:contentTypeScope="" ma:versionID="83aadc788038967c10695489788a633b">
  <xsd:schema xmlns:xsd="http://www.w3.org/2001/XMLSchema" xmlns:xs="http://www.w3.org/2001/XMLSchema" xmlns:p="http://schemas.microsoft.com/office/2006/metadata/properties" xmlns:ns2="fb9b28aa-94e2-4211-9adc-789441ef8c4b" xmlns:ns3="d7a30cb0-8d1e-4897-bc68-4ce7844f52bf" targetNamespace="http://schemas.microsoft.com/office/2006/metadata/properties" ma:root="true" ma:fieldsID="6a63970259328005f35c88b1c79be7b2" ns2:_="" ns3:_="">
    <xsd:import namespace="fb9b28aa-94e2-4211-9adc-789441ef8c4b"/>
    <xsd:import namespace="d7a30cb0-8d1e-4897-bc68-4ce7844f5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b28aa-94e2-4211-9adc-789441ef8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30cb0-8d1e-4897-bc68-4ce7844f5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40A3E-CFAE-429C-A080-F89CF095E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660E9-CF69-4F1A-B957-E258122041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C4654D-7320-4C76-B907-7A76BF5B9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b28aa-94e2-4211-9adc-789441ef8c4b"/>
    <ds:schemaRef ds:uri="d7a30cb0-8d1e-4897-bc68-4ce7844f5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50A536-82CE-4000-9F49-74DD07CDC7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Lawson</dc:creator>
  <cp:keywords/>
  <dc:description/>
  <cp:lastModifiedBy>Mark Lawson</cp:lastModifiedBy>
  <cp:revision>9</cp:revision>
  <dcterms:created xsi:type="dcterms:W3CDTF">2021-05-06T13:26:00Z</dcterms:created>
  <dcterms:modified xsi:type="dcterms:W3CDTF">2021-11-02T10:33:00Z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0x010100944C9AE83360814EBD0030DDA91AD378</vt:lpwstr>
  </property>
</Properties>
</file>