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9016"/>
      </w:tblGrid>
      <w:tr w:rsidR="001A6EFD" w14:paraId="3022CDF6" w14:textId="77777777" w:rsidTr="001A6EFD">
        <w:tc>
          <w:tcPr>
            <w:tcW w:w="9016" w:type="dxa"/>
            <w:shd w:val="clear" w:color="auto" w:fill="00B0F0"/>
          </w:tcPr>
          <w:p w14:paraId="3999244D" w14:textId="109C94A3" w:rsidR="00D26B6F" w:rsidRPr="00BD541A" w:rsidRDefault="00D26B6F" w:rsidP="001A6EFD">
            <w:pPr>
              <w:spacing w:line="240" w:lineRule="auto"/>
              <w:jc w:val="center"/>
              <w:rPr>
                <w:b/>
                <w:bCs/>
                <w:sz w:val="28"/>
                <w:szCs w:val="28"/>
              </w:rPr>
            </w:pPr>
          </w:p>
          <w:p w14:paraId="19E3EBDC" w14:textId="6FA073A3" w:rsidR="00D26B6F" w:rsidRDefault="00D26B6F" w:rsidP="00D26B6F">
            <w:pPr>
              <w:spacing w:line="240" w:lineRule="auto"/>
              <w:jc w:val="center"/>
              <w:rPr>
                <w:b/>
                <w:bCs/>
                <w:sz w:val="28"/>
                <w:szCs w:val="28"/>
              </w:rPr>
            </w:pPr>
            <w:r w:rsidRPr="00BD541A">
              <w:rPr>
                <w:b/>
                <w:bCs/>
                <w:sz w:val="28"/>
                <w:szCs w:val="28"/>
              </w:rPr>
              <w:t xml:space="preserve">TEMPORIS </w:t>
            </w:r>
            <w:r w:rsidR="00053226">
              <w:rPr>
                <w:b/>
                <w:bCs/>
                <w:sz w:val="28"/>
                <w:szCs w:val="28"/>
              </w:rPr>
              <w:t xml:space="preserve">IMPACT </w:t>
            </w:r>
            <w:r w:rsidR="00B34D75">
              <w:rPr>
                <w:b/>
                <w:bCs/>
                <w:sz w:val="28"/>
                <w:szCs w:val="28"/>
              </w:rPr>
              <w:t>STRATEGY</w:t>
            </w:r>
            <w:r w:rsidR="00053226">
              <w:rPr>
                <w:b/>
                <w:bCs/>
                <w:sz w:val="28"/>
                <w:szCs w:val="28"/>
              </w:rPr>
              <w:t xml:space="preserve"> </w:t>
            </w:r>
            <w:r w:rsidR="00D82D43">
              <w:rPr>
                <w:b/>
                <w:bCs/>
                <w:sz w:val="28"/>
                <w:szCs w:val="28"/>
              </w:rPr>
              <w:t>V L.P.</w:t>
            </w:r>
            <w:r w:rsidRPr="00BD541A">
              <w:rPr>
                <w:b/>
                <w:bCs/>
                <w:sz w:val="28"/>
                <w:szCs w:val="28"/>
              </w:rPr>
              <w:t xml:space="preserve"> </w:t>
            </w:r>
          </w:p>
          <w:p w14:paraId="5B98F942" w14:textId="36BB4201" w:rsidR="00D26B6F" w:rsidRDefault="00D26B6F" w:rsidP="00D26B6F">
            <w:pPr>
              <w:spacing w:line="240" w:lineRule="auto"/>
              <w:jc w:val="center"/>
              <w:rPr>
                <w:b/>
                <w:bCs/>
                <w:sz w:val="28"/>
                <w:szCs w:val="28"/>
              </w:rPr>
            </w:pPr>
            <w:r>
              <w:rPr>
                <w:b/>
                <w:bCs/>
                <w:sz w:val="28"/>
                <w:szCs w:val="28"/>
              </w:rPr>
              <w:t>ESG DISCLOSURE STATEMENT</w:t>
            </w:r>
          </w:p>
          <w:p w14:paraId="533EED4F" w14:textId="77777777" w:rsidR="001A6EFD" w:rsidRDefault="001A6EFD" w:rsidP="00D26B6F">
            <w:pPr>
              <w:spacing w:line="240" w:lineRule="auto"/>
              <w:jc w:val="center"/>
              <w:rPr>
                <w:b/>
                <w:bCs/>
                <w:sz w:val="28"/>
                <w:szCs w:val="28"/>
              </w:rPr>
            </w:pPr>
          </w:p>
        </w:tc>
      </w:tr>
    </w:tbl>
    <w:p w14:paraId="7CD897E2" w14:textId="1C47A12E" w:rsidR="00A71B85" w:rsidRDefault="00A71B85" w:rsidP="00A71B85">
      <w:pPr>
        <w:spacing w:after="0" w:line="240" w:lineRule="auto"/>
        <w:jc w:val="both"/>
      </w:pPr>
    </w:p>
    <w:p w14:paraId="3F36E962" w14:textId="77777777" w:rsidR="00C94FDB" w:rsidRPr="00C94FDB" w:rsidRDefault="00C94FDB" w:rsidP="00C94FDB">
      <w:pPr>
        <w:pStyle w:val="ListParagraph"/>
        <w:numPr>
          <w:ilvl w:val="0"/>
          <w:numId w:val="4"/>
        </w:numPr>
        <w:spacing w:after="0" w:line="240" w:lineRule="auto"/>
        <w:jc w:val="both"/>
        <w:rPr>
          <w:b/>
          <w:bCs/>
        </w:rPr>
      </w:pPr>
      <w:r w:rsidRPr="00C94FDB">
        <w:rPr>
          <w:b/>
          <w:bCs/>
        </w:rPr>
        <w:t>Introduction</w:t>
      </w:r>
    </w:p>
    <w:p w14:paraId="0B1E132E" w14:textId="77777777" w:rsidR="00C94FDB" w:rsidRDefault="00C94FDB" w:rsidP="00C94FDB">
      <w:pPr>
        <w:spacing w:after="0" w:line="240" w:lineRule="auto"/>
        <w:ind w:left="360"/>
        <w:jc w:val="both"/>
      </w:pPr>
    </w:p>
    <w:p w14:paraId="4969825D" w14:textId="38A41DF5" w:rsidR="00A71B85" w:rsidRDefault="00A71B85" w:rsidP="00C94FDB">
      <w:pPr>
        <w:spacing w:after="0" w:line="240" w:lineRule="auto"/>
        <w:jc w:val="both"/>
      </w:pPr>
      <w:r>
        <w:t xml:space="preserve">This website disclosure statement is made in accordance with the </w:t>
      </w:r>
      <w:r w:rsidR="00C94FDB">
        <w:t xml:space="preserve">prescribed format required by the EU Sustainable Finance Disclosure Regulation (“SFDR”) </w:t>
      </w:r>
      <w:r>
        <w:t>and its accompanying Draft Regulatory Technical Standards</w:t>
      </w:r>
      <w:r w:rsidR="00C94FDB">
        <w:t xml:space="preserve">. </w:t>
      </w:r>
    </w:p>
    <w:p w14:paraId="51A6B502" w14:textId="037AF6EE" w:rsidR="00C94FDB" w:rsidRDefault="00C94FDB" w:rsidP="00A71B85">
      <w:pPr>
        <w:spacing w:after="0" w:line="240" w:lineRule="auto"/>
        <w:jc w:val="both"/>
      </w:pPr>
    </w:p>
    <w:p w14:paraId="6145CBA7" w14:textId="6D31F9B3" w:rsidR="00C94FDB" w:rsidRDefault="00C94FDB" w:rsidP="00C94FDB">
      <w:pPr>
        <w:spacing w:after="0" w:line="240" w:lineRule="auto"/>
        <w:jc w:val="both"/>
      </w:pPr>
      <w:r w:rsidRPr="00C94FDB">
        <w:t>The statement relates to Temporis</w:t>
      </w:r>
      <w:r w:rsidR="00053226">
        <w:t xml:space="preserve"> Impact </w:t>
      </w:r>
      <w:r w:rsidR="00896B7E">
        <w:t xml:space="preserve">Strategy </w:t>
      </w:r>
      <w:r w:rsidR="00D82D43">
        <w:t>V L.P.</w:t>
      </w:r>
      <w:r w:rsidR="00CF671B">
        <w:t xml:space="preserve"> (“</w:t>
      </w:r>
      <w:r w:rsidR="00D82D43">
        <w:t xml:space="preserve">Impact </w:t>
      </w:r>
      <w:r w:rsidR="00896B7E">
        <w:t xml:space="preserve">Strategy </w:t>
      </w:r>
      <w:r w:rsidR="00D82D43">
        <w:t>V</w:t>
      </w:r>
      <w:r w:rsidR="00CF671B">
        <w:t>”</w:t>
      </w:r>
      <w:r w:rsidR="00D82D43">
        <w:t xml:space="preserve"> or the “Fund”</w:t>
      </w:r>
      <w:r w:rsidR="00CF671B">
        <w:t>)</w:t>
      </w:r>
      <w:r w:rsidR="002816A3">
        <w:t xml:space="preserve">. </w:t>
      </w:r>
      <w:r w:rsidR="00CB14B6">
        <w:t xml:space="preserve"> </w:t>
      </w:r>
    </w:p>
    <w:p w14:paraId="566EEBE9" w14:textId="785D3996" w:rsidR="005764A7" w:rsidRDefault="005764A7" w:rsidP="00C94FDB">
      <w:pPr>
        <w:spacing w:after="0" w:line="240" w:lineRule="auto"/>
        <w:jc w:val="both"/>
      </w:pPr>
    </w:p>
    <w:p w14:paraId="2B771792" w14:textId="79EAE638" w:rsidR="005764A7" w:rsidRDefault="00F31619" w:rsidP="00C94FDB">
      <w:pPr>
        <w:spacing w:after="0" w:line="240" w:lineRule="auto"/>
        <w:jc w:val="both"/>
      </w:pPr>
      <w:r>
        <w:t xml:space="preserve">Impact </w:t>
      </w:r>
      <w:r w:rsidR="00226AA3">
        <w:t xml:space="preserve">Strategy </w:t>
      </w:r>
      <w:r>
        <w:t xml:space="preserve">V </w:t>
      </w:r>
      <w:r w:rsidR="005764A7">
        <w:t xml:space="preserve">is managed by Temporis Investment Management Limited </w:t>
      </w:r>
      <w:r w:rsidR="00283D43">
        <w:t>(</w:t>
      </w:r>
      <w:r w:rsidR="00E77EA5">
        <w:t>“Temporis”</w:t>
      </w:r>
      <w:r w:rsidR="00283D43">
        <w:t>)</w:t>
      </w:r>
      <w:r w:rsidR="00903CBF">
        <w:t>,</w:t>
      </w:r>
      <w:r w:rsidR="00283D43">
        <w:t xml:space="preserve"> </w:t>
      </w:r>
      <w:r w:rsidR="00CF3F54">
        <w:t xml:space="preserve">which is registered as an Alternative Investment </w:t>
      </w:r>
      <w:r w:rsidR="00797B7F">
        <w:t xml:space="preserve">Fund </w:t>
      </w:r>
      <w:r w:rsidR="00CF3F54">
        <w:t>Manager</w:t>
      </w:r>
      <w:r w:rsidR="00797B7F">
        <w:t xml:space="preserve"> (“AIFM”) </w:t>
      </w:r>
      <w:r w:rsidR="007C42DC">
        <w:t xml:space="preserve">with </w:t>
      </w:r>
      <w:r w:rsidR="00797B7F">
        <w:t>the Central Bank of Ireland.</w:t>
      </w:r>
      <w:r w:rsidR="00CF3F54">
        <w:t xml:space="preserve"> </w:t>
      </w:r>
    </w:p>
    <w:p w14:paraId="755D7269" w14:textId="3F383A61" w:rsidR="00C94FDB" w:rsidRDefault="00C94FDB" w:rsidP="00C94FDB">
      <w:pPr>
        <w:spacing w:after="0" w:line="240" w:lineRule="auto"/>
        <w:jc w:val="both"/>
      </w:pPr>
    </w:p>
    <w:p w14:paraId="6B24791F" w14:textId="2CF44870" w:rsidR="00C94FDB" w:rsidRDefault="00C94FDB" w:rsidP="00C94FDB">
      <w:pPr>
        <w:pStyle w:val="ListParagraph"/>
        <w:numPr>
          <w:ilvl w:val="0"/>
          <w:numId w:val="4"/>
        </w:numPr>
        <w:spacing w:after="0" w:line="240" w:lineRule="auto"/>
        <w:jc w:val="both"/>
        <w:rPr>
          <w:b/>
          <w:bCs/>
        </w:rPr>
      </w:pPr>
      <w:r w:rsidRPr="00C94FDB">
        <w:rPr>
          <w:b/>
          <w:bCs/>
        </w:rPr>
        <w:t>Summary of Sustainability Approach</w:t>
      </w:r>
    </w:p>
    <w:p w14:paraId="632FD4D4" w14:textId="0627EF45" w:rsidR="00956314" w:rsidRDefault="00956314" w:rsidP="00956314">
      <w:pPr>
        <w:spacing w:after="0" w:line="240" w:lineRule="auto"/>
        <w:jc w:val="both"/>
        <w:rPr>
          <w:b/>
          <w:bCs/>
        </w:rPr>
      </w:pPr>
    </w:p>
    <w:p w14:paraId="7E2EE1A8" w14:textId="0387EB3C" w:rsidR="00BB5F71" w:rsidRDefault="00BB5F71" w:rsidP="00BB5F71">
      <w:pPr>
        <w:spacing w:after="0" w:line="240" w:lineRule="auto"/>
        <w:jc w:val="both"/>
        <w:rPr>
          <w:rFonts w:ascii="Calibri" w:hAnsi="Calibri" w:cs="Calibri"/>
        </w:rPr>
      </w:pPr>
      <w:r>
        <w:rPr>
          <w:rFonts w:ascii="Calibri" w:hAnsi="Calibri" w:cs="Calibri"/>
        </w:rPr>
        <w:t xml:space="preserve">Temporis </w:t>
      </w:r>
      <w:r w:rsidR="007A39D4">
        <w:rPr>
          <w:rFonts w:ascii="Calibri" w:hAnsi="Calibri" w:cs="Calibri"/>
        </w:rPr>
        <w:t xml:space="preserve">primarily </w:t>
      </w:r>
      <w:r>
        <w:rPr>
          <w:rFonts w:ascii="Calibri" w:hAnsi="Calibri" w:cs="Calibri"/>
        </w:rPr>
        <w:t xml:space="preserve">focuses on renewable energy investments and </w:t>
      </w:r>
      <w:r w:rsidR="00A71AE0">
        <w:rPr>
          <w:rFonts w:ascii="Calibri" w:hAnsi="Calibri" w:cs="Calibri"/>
        </w:rPr>
        <w:t xml:space="preserve">hence the future </w:t>
      </w:r>
      <w:r>
        <w:rPr>
          <w:rFonts w:ascii="Calibri" w:hAnsi="Calibri" w:cs="Calibri"/>
        </w:rPr>
        <w:t xml:space="preserve">transition to a zero-carbon </w:t>
      </w:r>
      <w:r w:rsidR="00A71AE0">
        <w:rPr>
          <w:rFonts w:ascii="Calibri" w:hAnsi="Calibri" w:cs="Calibri"/>
        </w:rPr>
        <w:t xml:space="preserve">economy </w:t>
      </w:r>
      <w:r>
        <w:rPr>
          <w:rFonts w:ascii="Calibri" w:hAnsi="Calibri" w:cs="Calibri"/>
        </w:rPr>
        <w:t xml:space="preserve">is a key driver of its business model. Temporis invests in and manages renewable </w:t>
      </w:r>
      <w:r w:rsidR="007E2195">
        <w:rPr>
          <w:rFonts w:ascii="Calibri" w:hAnsi="Calibri" w:cs="Calibri"/>
        </w:rPr>
        <w:t xml:space="preserve">infrastructure </w:t>
      </w:r>
      <w:r>
        <w:rPr>
          <w:rFonts w:ascii="Calibri" w:hAnsi="Calibri" w:cs="Calibri"/>
        </w:rPr>
        <w:t>asset</w:t>
      </w:r>
      <w:r w:rsidR="00930B36">
        <w:rPr>
          <w:rFonts w:ascii="Calibri" w:hAnsi="Calibri" w:cs="Calibri"/>
        </w:rPr>
        <w:t xml:space="preserve">s </w:t>
      </w:r>
      <w:r w:rsidR="00BE53A8">
        <w:rPr>
          <w:rFonts w:ascii="Calibri" w:hAnsi="Calibri" w:cs="Calibri"/>
        </w:rPr>
        <w:t>on behalf of its clients.</w:t>
      </w:r>
    </w:p>
    <w:p w14:paraId="6B4B6A3F" w14:textId="4737EDEB" w:rsidR="00B90674" w:rsidRDefault="00B90674" w:rsidP="00BB5F71">
      <w:pPr>
        <w:spacing w:after="0" w:line="240" w:lineRule="auto"/>
        <w:jc w:val="both"/>
        <w:rPr>
          <w:rFonts w:ascii="Calibri" w:hAnsi="Calibri" w:cs="Calibri"/>
        </w:rPr>
      </w:pPr>
    </w:p>
    <w:p w14:paraId="53FDC65B" w14:textId="7C547493" w:rsidR="00020CE3" w:rsidRDefault="00FF18F3" w:rsidP="00BB5F71">
      <w:pPr>
        <w:spacing w:after="0" w:line="240" w:lineRule="auto"/>
        <w:jc w:val="both"/>
        <w:rPr>
          <w:rFonts w:ascii="Calibri" w:hAnsi="Calibri" w:cs="Calibri"/>
        </w:rPr>
      </w:pPr>
      <w:r>
        <w:rPr>
          <w:rFonts w:ascii="Calibri" w:hAnsi="Calibri" w:cs="Calibri"/>
        </w:rPr>
        <w:t>Temporis</w:t>
      </w:r>
      <w:r w:rsidR="0047744C">
        <w:rPr>
          <w:rFonts w:ascii="Calibri" w:hAnsi="Calibri" w:cs="Calibri"/>
        </w:rPr>
        <w:t xml:space="preserve"> has integrated </w:t>
      </w:r>
      <w:proofErr w:type="gramStart"/>
      <w:r w:rsidR="001F652F">
        <w:rPr>
          <w:rFonts w:ascii="Calibri" w:hAnsi="Calibri" w:cs="Calibri"/>
        </w:rPr>
        <w:t>a number of</w:t>
      </w:r>
      <w:proofErr w:type="gramEnd"/>
      <w:r w:rsidR="001F652F">
        <w:rPr>
          <w:rFonts w:ascii="Calibri" w:hAnsi="Calibri" w:cs="Calibri"/>
        </w:rPr>
        <w:t xml:space="preserve"> </w:t>
      </w:r>
      <w:r w:rsidR="004A535F">
        <w:rPr>
          <w:rFonts w:ascii="Calibri" w:hAnsi="Calibri" w:cs="Calibri"/>
        </w:rPr>
        <w:t>global sustainability initiatives</w:t>
      </w:r>
      <w:r w:rsidR="004D302B">
        <w:rPr>
          <w:rFonts w:ascii="Calibri" w:hAnsi="Calibri" w:cs="Calibri"/>
        </w:rPr>
        <w:t xml:space="preserve"> into its investment processes</w:t>
      </w:r>
      <w:r w:rsidR="006405AD">
        <w:rPr>
          <w:rFonts w:ascii="Calibri" w:hAnsi="Calibri" w:cs="Calibri"/>
        </w:rPr>
        <w:t xml:space="preserve">, for </w:t>
      </w:r>
      <w:r w:rsidR="004A535F">
        <w:rPr>
          <w:rFonts w:ascii="Calibri" w:hAnsi="Calibri" w:cs="Calibri"/>
        </w:rPr>
        <w:t xml:space="preserve">example, </w:t>
      </w:r>
      <w:r w:rsidR="004D302B">
        <w:rPr>
          <w:rFonts w:ascii="Calibri" w:hAnsi="Calibri" w:cs="Calibri"/>
        </w:rPr>
        <w:t>it is a signatory of the U</w:t>
      </w:r>
      <w:r w:rsidR="002B3369">
        <w:rPr>
          <w:rFonts w:ascii="Calibri" w:hAnsi="Calibri" w:cs="Calibri"/>
        </w:rPr>
        <w:t xml:space="preserve">N’s </w:t>
      </w:r>
      <w:r w:rsidR="00364FD2">
        <w:rPr>
          <w:rFonts w:ascii="Calibri" w:hAnsi="Calibri" w:cs="Calibri"/>
        </w:rPr>
        <w:t>Principles for Responsible Investment (“PRI”)</w:t>
      </w:r>
      <w:r w:rsidR="006405AD">
        <w:rPr>
          <w:rFonts w:ascii="Calibri" w:hAnsi="Calibri" w:cs="Calibri"/>
        </w:rPr>
        <w:t xml:space="preserve">.  </w:t>
      </w:r>
      <w:r w:rsidR="006B40EA">
        <w:rPr>
          <w:rFonts w:ascii="Calibri" w:hAnsi="Calibri" w:cs="Calibri"/>
        </w:rPr>
        <w:t xml:space="preserve">A description of how Temporis </w:t>
      </w:r>
      <w:r w:rsidR="00081480">
        <w:rPr>
          <w:rFonts w:ascii="Calibri" w:hAnsi="Calibri" w:cs="Calibri"/>
        </w:rPr>
        <w:t xml:space="preserve">has implemented each of the </w:t>
      </w:r>
      <w:r w:rsidR="00AD2E7F">
        <w:rPr>
          <w:rFonts w:ascii="Calibri" w:hAnsi="Calibri" w:cs="Calibri"/>
        </w:rPr>
        <w:t xml:space="preserve">Principles is set out in its </w:t>
      </w:r>
      <w:r w:rsidR="000D00C8">
        <w:rPr>
          <w:rFonts w:ascii="Calibri" w:hAnsi="Calibri" w:cs="Calibri"/>
        </w:rPr>
        <w:t xml:space="preserve">ESG Investment Policy held on the Temporis website.  </w:t>
      </w:r>
    </w:p>
    <w:p w14:paraId="6890D7A4" w14:textId="77777777" w:rsidR="00020CE3" w:rsidRDefault="00020CE3" w:rsidP="00BB5F71">
      <w:pPr>
        <w:spacing w:after="0" w:line="240" w:lineRule="auto"/>
        <w:jc w:val="both"/>
        <w:rPr>
          <w:rFonts w:ascii="Calibri" w:hAnsi="Calibri" w:cs="Calibri"/>
        </w:rPr>
      </w:pPr>
    </w:p>
    <w:p w14:paraId="7911EEA0" w14:textId="39AE568E" w:rsidR="00020CE3" w:rsidRDefault="000D00C8" w:rsidP="00BB5F71">
      <w:pPr>
        <w:spacing w:after="0" w:line="240" w:lineRule="auto"/>
        <w:jc w:val="both"/>
        <w:rPr>
          <w:rFonts w:ascii="Calibri" w:hAnsi="Calibri" w:cs="Calibri"/>
        </w:rPr>
      </w:pPr>
      <w:r>
        <w:rPr>
          <w:rFonts w:ascii="Calibri" w:hAnsi="Calibri" w:cs="Calibri"/>
        </w:rPr>
        <w:t xml:space="preserve">The Policy also sets out </w:t>
      </w:r>
      <w:r w:rsidR="002B3369">
        <w:rPr>
          <w:rFonts w:ascii="Calibri" w:hAnsi="Calibri" w:cs="Calibri"/>
        </w:rPr>
        <w:t xml:space="preserve">how Temporis aligns its business activities to the </w:t>
      </w:r>
      <w:r w:rsidR="00CF0EE4">
        <w:rPr>
          <w:rFonts w:ascii="Calibri" w:hAnsi="Calibri" w:cs="Calibri"/>
        </w:rPr>
        <w:t xml:space="preserve">relevant </w:t>
      </w:r>
      <w:r w:rsidR="002B3369">
        <w:rPr>
          <w:rFonts w:ascii="Calibri" w:hAnsi="Calibri" w:cs="Calibri"/>
        </w:rPr>
        <w:t xml:space="preserve">UN </w:t>
      </w:r>
      <w:r w:rsidR="00330675">
        <w:rPr>
          <w:rFonts w:ascii="Calibri" w:hAnsi="Calibri" w:cs="Calibri"/>
        </w:rPr>
        <w:t>Sustainability Development Goals (“SDG’s”)</w:t>
      </w:r>
      <w:r w:rsidR="00CF0EE4">
        <w:rPr>
          <w:rFonts w:ascii="Calibri" w:hAnsi="Calibri" w:cs="Calibri"/>
        </w:rPr>
        <w:t xml:space="preserve">. </w:t>
      </w:r>
      <w:r w:rsidR="00BF6473">
        <w:rPr>
          <w:rFonts w:ascii="Calibri" w:hAnsi="Calibri" w:cs="Calibri"/>
        </w:rPr>
        <w:t xml:space="preserve"> </w:t>
      </w:r>
      <w:r w:rsidR="00FF27C8">
        <w:rPr>
          <w:rFonts w:ascii="Calibri" w:hAnsi="Calibri" w:cs="Calibri"/>
        </w:rPr>
        <w:t xml:space="preserve">Temporis also takes account of the Equator Principles </w:t>
      </w:r>
      <w:r w:rsidR="00537354">
        <w:rPr>
          <w:rFonts w:ascii="Calibri" w:hAnsi="Calibri" w:cs="Calibri"/>
        </w:rPr>
        <w:t>and will review projects against their provisions, where appropriate.</w:t>
      </w:r>
    </w:p>
    <w:p w14:paraId="18B67D8C" w14:textId="77777777" w:rsidR="00020CE3" w:rsidRDefault="00020CE3" w:rsidP="00BB5F71">
      <w:pPr>
        <w:spacing w:after="0" w:line="240" w:lineRule="auto"/>
        <w:jc w:val="both"/>
        <w:rPr>
          <w:rFonts w:ascii="Calibri" w:hAnsi="Calibri" w:cs="Calibri"/>
        </w:rPr>
      </w:pPr>
    </w:p>
    <w:p w14:paraId="0802DD30" w14:textId="088B4940" w:rsidR="001C20D2" w:rsidRDefault="001C20D2" w:rsidP="001C20D2">
      <w:pPr>
        <w:spacing w:after="0" w:line="240" w:lineRule="auto"/>
        <w:jc w:val="both"/>
        <w:rPr>
          <w:rFonts w:ascii="Calibri" w:hAnsi="Calibri" w:cs="Calibri"/>
        </w:rPr>
      </w:pPr>
      <w:r>
        <w:rPr>
          <w:rFonts w:ascii="Calibri" w:hAnsi="Calibri" w:cs="Calibri"/>
        </w:rPr>
        <w:t xml:space="preserve">The assessment of </w:t>
      </w:r>
      <w:r w:rsidR="00BA7B26">
        <w:rPr>
          <w:rFonts w:ascii="Calibri" w:hAnsi="Calibri" w:cs="Calibri"/>
        </w:rPr>
        <w:t xml:space="preserve">relevant </w:t>
      </w:r>
      <w:r>
        <w:rPr>
          <w:rFonts w:ascii="Calibri" w:hAnsi="Calibri" w:cs="Calibri"/>
        </w:rPr>
        <w:t xml:space="preserve">ESG </w:t>
      </w:r>
      <w:r w:rsidR="00827703">
        <w:rPr>
          <w:rFonts w:ascii="Calibri" w:hAnsi="Calibri" w:cs="Calibri"/>
        </w:rPr>
        <w:t xml:space="preserve">factors and </w:t>
      </w:r>
      <w:r>
        <w:rPr>
          <w:rFonts w:ascii="Calibri" w:hAnsi="Calibri" w:cs="Calibri"/>
        </w:rPr>
        <w:t>benefits applies throughout the investment cycle - for new assets it includes deal screening and due diligence processes, and for existing portfolio investments it includes asset management protocols and controls, monitoring, reporting and exit processes (as appropriate).</w:t>
      </w:r>
    </w:p>
    <w:p w14:paraId="77D5840D" w14:textId="77777777" w:rsidR="00AC2770" w:rsidRDefault="00AC2770" w:rsidP="00BB5F71">
      <w:pPr>
        <w:spacing w:after="0" w:line="240" w:lineRule="auto"/>
        <w:jc w:val="both"/>
        <w:rPr>
          <w:rFonts w:ascii="Calibri" w:hAnsi="Calibri" w:cs="Calibri"/>
        </w:rPr>
      </w:pPr>
    </w:p>
    <w:p w14:paraId="2A7A5206" w14:textId="1B448E5C" w:rsidR="00D26B6F" w:rsidRDefault="00BB5F71" w:rsidP="00BB5F71">
      <w:pPr>
        <w:spacing w:after="0" w:line="240" w:lineRule="auto"/>
        <w:jc w:val="both"/>
        <w:rPr>
          <w:rFonts w:ascii="Calibri" w:hAnsi="Calibri" w:cs="Calibri"/>
        </w:rPr>
      </w:pPr>
      <w:r>
        <w:rPr>
          <w:rFonts w:ascii="Calibri" w:hAnsi="Calibri" w:cs="Calibri"/>
        </w:rPr>
        <w:t xml:space="preserve">Temporis </w:t>
      </w:r>
      <w:r w:rsidR="00AC2770" w:rsidRPr="004B68E9">
        <w:rPr>
          <w:rFonts w:ascii="Calibri" w:hAnsi="Calibri" w:cs="Calibri"/>
        </w:rPr>
        <w:t>will be</w:t>
      </w:r>
      <w:r w:rsidR="00AC2770">
        <w:rPr>
          <w:rFonts w:ascii="Calibri" w:hAnsi="Calibri" w:cs="Calibri"/>
        </w:rPr>
        <w:t xml:space="preserve"> </w:t>
      </w:r>
      <w:r>
        <w:rPr>
          <w:rFonts w:ascii="Calibri" w:hAnsi="Calibri" w:cs="Calibri"/>
        </w:rPr>
        <w:t xml:space="preserve">actively involved in the management and oversight of the portfolio companies </w:t>
      </w:r>
      <w:r w:rsidR="00C40E05">
        <w:rPr>
          <w:rFonts w:ascii="Calibri" w:hAnsi="Calibri" w:cs="Calibri"/>
        </w:rPr>
        <w:t xml:space="preserve">formed to hold </w:t>
      </w:r>
      <w:r w:rsidR="008E7B5E">
        <w:rPr>
          <w:rFonts w:ascii="Calibri" w:hAnsi="Calibri" w:cs="Calibri"/>
        </w:rPr>
        <w:t xml:space="preserve">the physical assets of the fund </w:t>
      </w:r>
      <w:r>
        <w:rPr>
          <w:rFonts w:ascii="Calibri" w:hAnsi="Calibri" w:cs="Calibri"/>
        </w:rPr>
        <w:t>and for each company will ordinarily assume one or more B</w:t>
      </w:r>
      <w:r w:rsidR="00EC4233">
        <w:rPr>
          <w:rFonts w:ascii="Calibri" w:hAnsi="Calibri" w:cs="Calibri"/>
        </w:rPr>
        <w:t>oard positions.</w:t>
      </w:r>
    </w:p>
    <w:p w14:paraId="5EB4EEF3" w14:textId="77777777" w:rsidR="00FE3B2D" w:rsidRDefault="00FE3B2D" w:rsidP="00BB5F71">
      <w:pPr>
        <w:spacing w:after="0" w:line="240" w:lineRule="auto"/>
        <w:jc w:val="both"/>
        <w:rPr>
          <w:rFonts w:ascii="Calibri" w:hAnsi="Calibri" w:cs="Calibri"/>
        </w:rPr>
      </w:pPr>
    </w:p>
    <w:p w14:paraId="0A2D6810" w14:textId="7E0DE70D" w:rsidR="00956314" w:rsidRDefault="00956314" w:rsidP="00956314">
      <w:pPr>
        <w:pStyle w:val="ListParagraph"/>
        <w:numPr>
          <w:ilvl w:val="0"/>
          <w:numId w:val="4"/>
        </w:numPr>
        <w:spacing w:after="0" w:line="240" w:lineRule="auto"/>
        <w:jc w:val="both"/>
        <w:rPr>
          <w:b/>
          <w:bCs/>
        </w:rPr>
      </w:pPr>
      <w:bookmarkStart w:id="0" w:name="_Hlk86650537"/>
      <w:r>
        <w:rPr>
          <w:b/>
          <w:bCs/>
        </w:rPr>
        <w:t>Sustainabl</w:t>
      </w:r>
      <w:r w:rsidR="006B2988">
        <w:rPr>
          <w:b/>
          <w:bCs/>
        </w:rPr>
        <w:t xml:space="preserve">e </w:t>
      </w:r>
      <w:r>
        <w:rPr>
          <w:b/>
          <w:bCs/>
        </w:rPr>
        <w:t>Investment Objective(s) Being Pursued</w:t>
      </w:r>
    </w:p>
    <w:bookmarkEnd w:id="0"/>
    <w:p w14:paraId="7665C951" w14:textId="77777777" w:rsidR="00FE3B2D" w:rsidRPr="00FE3B2D" w:rsidRDefault="00FE3B2D" w:rsidP="00FE3B2D">
      <w:pPr>
        <w:spacing w:after="0" w:line="240" w:lineRule="auto"/>
        <w:jc w:val="both"/>
        <w:rPr>
          <w:b/>
          <w:bCs/>
        </w:rPr>
      </w:pPr>
    </w:p>
    <w:p w14:paraId="71D9082A" w14:textId="438EE522" w:rsidR="00F34EAF" w:rsidRDefault="009630EF" w:rsidP="00D82D43">
      <w:pPr>
        <w:pBdr>
          <w:top w:val="nil"/>
          <w:left w:val="nil"/>
          <w:bottom w:val="nil"/>
          <w:right w:val="nil"/>
          <w:between w:val="nil"/>
        </w:pBdr>
        <w:spacing w:after="200"/>
        <w:contextualSpacing/>
        <w:jc w:val="both"/>
        <w:rPr>
          <w:szCs w:val="24"/>
        </w:rPr>
      </w:pPr>
      <w:r>
        <w:rPr>
          <w:rFonts w:cs="Arial"/>
        </w:rPr>
        <w:t>Impact Strategy</w:t>
      </w:r>
      <w:r w:rsidR="00D82D43" w:rsidRPr="00D82D43">
        <w:rPr>
          <w:rFonts w:cs="Arial"/>
        </w:rPr>
        <w:t xml:space="preserve"> </w:t>
      </w:r>
      <w:r w:rsidR="00D82D43">
        <w:rPr>
          <w:rFonts w:cs="Arial"/>
        </w:rPr>
        <w:t xml:space="preserve">V </w:t>
      </w:r>
      <w:r w:rsidR="00D82D43" w:rsidRPr="00D82D43">
        <w:rPr>
          <w:rFonts w:cs="Arial"/>
        </w:rPr>
        <w:t xml:space="preserve">will </w:t>
      </w:r>
      <w:r w:rsidR="00D82D43">
        <w:rPr>
          <w:rFonts w:cs="Arial"/>
        </w:rPr>
        <w:t>invest</w:t>
      </w:r>
      <w:r w:rsidR="00D82D43" w:rsidRPr="00D82D43">
        <w:rPr>
          <w:rFonts w:cs="Arial"/>
        </w:rPr>
        <w:t xml:space="preserve"> in a diversified portfolio of renewable energy projects and </w:t>
      </w:r>
      <w:r w:rsidR="009055F6">
        <w:rPr>
          <w:rFonts w:cs="Arial"/>
        </w:rPr>
        <w:t xml:space="preserve">enabling </w:t>
      </w:r>
      <w:r w:rsidR="00D82D43" w:rsidRPr="00D82D43">
        <w:rPr>
          <w:rFonts w:cs="Arial"/>
        </w:rPr>
        <w:t>technologies and in businesses enabling greater penetration of renewable energy</w:t>
      </w:r>
      <w:r w:rsidR="00BE53A8">
        <w:rPr>
          <w:rFonts w:cs="Arial"/>
        </w:rPr>
        <w:t xml:space="preserve">, </w:t>
      </w:r>
      <w:r w:rsidR="00D82D43" w:rsidRPr="00D82D43">
        <w:rPr>
          <w:rFonts w:cs="Arial"/>
        </w:rPr>
        <w:t>focus</w:t>
      </w:r>
      <w:r w:rsidR="00BE53A8">
        <w:rPr>
          <w:rFonts w:cs="Arial"/>
        </w:rPr>
        <w:t>ing</w:t>
      </w:r>
      <w:r w:rsidR="00D82D43" w:rsidRPr="00D82D43">
        <w:rPr>
          <w:rFonts w:cs="Arial"/>
        </w:rPr>
        <w:t xml:space="preserve"> predominantly </w:t>
      </w:r>
      <w:r w:rsidR="001B01CB" w:rsidRPr="00D82D43">
        <w:rPr>
          <w:rFonts w:cs="Arial"/>
        </w:rPr>
        <w:t>on</w:t>
      </w:r>
      <w:r w:rsidR="00D82D43" w:rsidRPr="00D82D43">
        <w:rPr>
          <w:rFonts w:cs="Arial"/>
        </w:rPr>
        <w:t xml:space="preserve"> the United Kingdom. The Fund is expected primarily to invest in the development</w:t>
      </w:r>
      <w:r w:rsidR="00C46C2A">
        <w:rPr>
          <w:rFonts w:cs="Arial"/>
        </w:rPr>
        <w:t xml:space="preserve"> stage</w:t>
      </w:r>
      <w:r w:rsidR="00D82D43" w:rsidRPr="00D82D43">
        <w:rPr>
          <w:rFonts w:cs="Arial"/>
        </w:rPr>
        <w:t xml:space="preserve"> o</w:t>
      </w:r>
      <w:r w:rsidR="00846639">
        <w:rPr>
          <w:rFonts w:cs="Arial"/>
        </w:rPr>
        <w:t>f</w:t>
      </w:r>
      <w:r w:rsidR="00D82D43" w:rsidRPr="00D82D43">
        <w:rPr>
          <w:rFonts w:cs="Arial"/>
        </w:rPr>
        <w:t xml:space="preserve"> investments of renewable energy projects to construct; it will also seek to operate and to acquire some construction and operating projects. </w:t>
      </w:r>
    </w:p>
    <w:p w14:paraId="5C8FE314" w14:textId="77777777" w:rsidR="003F3D36" w:rsidRDefault="003F3D36" w:rsidP="00264D12">
      <w:pPr>
        <w:pBdr>
          <w:top w:val="nil"/>
          <w:left w:val="nil"/>
          <w:bottom w:val="nil"/>
          <w:right w:val="nil"/>
          <w:between w:val="nil"/>
        </w:pBdr>
        <w:spacing w:after="200"/>
        <w:contextualSpacing/>
        <w:rPr>
          <w:szCs w:val="24"/>
        </w:rPr>
      </w:pPr>
    </w:p>
    <w:p w14:paraId="05679694" w14:textId="47677DE1" w:rsidR="00264D12" w:rsidRDefault="00836A08" w:rsidP="00D82D43">
      <w:pPr>
        <w:pBdr>
          <w:top w:val="nil"/>
          <w:left w:val="nil"/>
          <w:bottom w:val="nil"/>
          <w:right w:val="nil"/>
          <w:between w:val="nil"/>
        </w:pBdr>
        <w:spacing w:after="200"/>
        <w:contextualSpacing/>
        <w:jc w:val="both"/>
        <w:rPr>
          <w:szCs w:val="24"/>
        </w:rPr>
      </w:pPr>
      <w:r>
        <w:rPr>
          <w:szCs w:val="24"/>
        </w:rPr>
        <w:lastRenderedPageBreak/>
        <w:t>Solar, w</w:t>
      </w:r>
      <w:r w:rsidR="004141E5">
        <w:rPr>
          <w:szCs w:val="24"/>
        </w:rPr>
        <w:t xml:space="preserve">ind </w:t>
      </w:r>
      <w:r w:rsidR="00CB526E">
        <w:rPr>
          <w:szCs w:val="24"/>
        </w:rPr>
        <w:t>generated</w:t>
      </w:r>
      <w:r>
        <w:rPr>
          <w:szCs w:val="24"/>
        </w:rPr>
        <w:t>, biomass</w:t>
      </w:r>
      <w:r w:rsidR="00CB526E">
        <w:rPr>
          <w:szCs w:val="24"/>
        </w:rPr>
        <w:t xml:space="preserve"> </w:t>
      </w:r>
      <w:r w:rsidR="00B96E98" w:rsidRPr="008868F3">
        <w:rPr>
          <w:szCs w:val="24"/>
        </w:rPr>
        <w:t>and hydr</w:t>
      </w:r>
      <w:r w:rsidR="00711D61" w:rsidRPr="008868F3">
        <w:rPr>
          <w:szCs w:val="24"/>
        </w:rPr>
        <w:t xml:space="preserve">o-electric </w:t>
      </w:r>
      <w:r w:rsidR="00CB526E" w:rsidRPr="008868F3">
        <w:rPr>
          <w:szCs w:val="24"/>
        </w:rPr>
        <w:t>power</w:t>
      </w:r>
      <w:r w:rsidR="00CB526E">
        <w:rPr>
          <w:szCs w:val="24"/>
        </w:rPr>
        <w:t xml:space="preserve"> </w:t>
      </w:r>
      <w:r w:rsidR="003D17C7">
        <w:rPr>
          <w:szCs w:val="24"/>
        </w:rPr>
        <w:t xml:space="preserve">are </w:t>
      </w:r>
      <w:r w:rsidR="004141E5">
        <w:rPr>
          <w:szCs w:val="24"/>
        </w:rPr>
        <w:t xml:space="preserve">key </w:t>
      </w:r>
      <w:r w:rsidR="00CB526E">
        <w:rPr>
          <w:szCs w:val="24"/>
        </w:rPr>
        <w:t>form</w:t>
      </w:r>
      <w:r w:rsidR="003D17C7">
        <w:rPr>
          <w:szCs w:val="24"/>
        </w:rPr>
        <w:t>s</w:t>
      </w:r>
      <w:r w:rsidR="00CB526E">
        <w:rPr>
          <w:szCs w:val="24"/>
        </w:rPr>
        <w:t xml:space="preserve"> of </w:t>
      </w:r>
      <w:r w:rsidR="00955255">
        <w:rPr>
          <w:szCs w:val="24"/>
        </w:rPr>
        <w:t>renewable energy</w:t>
      </w:r>
      <w:r w:rsidR="003F3D36">
        <w:rPr>
          <w:szCs w:val="24"/>
        </w:rPr>
        <w:t xml:space="preserve"> and hence </w:t>
      </w:r>
      <w:r w:rsidR="00832C18">
        <w:rPr>
          <w:szCs w:val="24"/>
        </w:rPr>
        <w:t xml:space="preserve">the Fund </w:t>
      </w:r>
      <w:r w:rsidR="00140FA9" w:rsidRPr="004B68E9">
        <w:rPr>
          <w:szCs w:val="24"/>
        </w:rPr>
        <w:t>will</w:t>
      </w:r>
      <w:r w:rsidR="00140FA9">
        <w:rPr>
          <w:szCs w:val="24"/>
        </w:rPr>
        <w:t xml:space="preserve"> </w:t>
      </w:r>
      <w:r w:rsidR="00125FED">
        <w:rPr>
          <w:szCs w:val="24"/>
        </w:rPr>
        <w:t xml:space="preserve">contribute </w:t>
      </w:r>
      <w:r w:rsidR="00917B5A">
        <w:rPr>
          <w:szCs w:val="24"/>
        </w:rPr>
        <w:t xml:space="preserve">positively </w:t>
      </w:r>
      <w:r w:rsidR="00EE4D35" w:rsidRPr="00D26B6F">
        <w:rPr>
          <w:szCs w:val="24"/>
        </w:rPr>
        <w:t>to climate change mitigatio</w:t>
      </w:r>
      <w:r w:rsidR="000E2E39" w:rsidRPr="00D26B6F">
        <w:rPr>
          <w:szCs w:val="24"/>
        </w:rPr>
        <w:t xml:space="preserve">n, </w:t>
      </w:r>
      <w:r w:rsidR="002A4F64" w:rsidRPr="00D26B6F">
        <w:rPr>
          <w:szCs w:val="24"/>
        </w:rPr>
        <w:t xml:space="preserve">an </w:t>
      </w:r>
      <w:r w:rsidR="00BC677A" w:rsidRPr="00D26B6F">
        <w:rPr>
          <w:szCs w:val="24"/>
        </w:rPr>
        <w:t>environmental objective as set out in the SFDR.</w:t>
      </w:r>
      <w:r w:rsidR="00BC677A">
        <w:rPr>
          <w:szCs w:val="24"/>
        </w:rPr>
        <w:t xml:space="preserve"> </w:t>
      </w:r>
    </w:p>
    <w:p w14:paraId="08BA99A9" w14:textId="513E1922" w:rsidR="00956314" w:rsidRDefault="00956314" w:rsidP="00956314">
      <w:pPr>
        <w:pStyle w:val="ListParagraph"/>
        <w:numPr>
          <w:ilvl w:val="0"/>
          <w:numId w:val="4"/>
        </w:numPr>
        <w:spacing w:after="0" w:line="240" w:lineRule="auto"/>
        <w:jc w:val="both"/>
        <w:rPr>
          <w:b/>
          <w:bCs/>
        </w:rPr>
      </w:pPr>
      <w:r>
        <w:rPr>
          <w:b/>
          <w:bCs/>
        </w:rPr>
        <w:t xml:space="preserve">Proportion of Investments </w:t>
      </w:r>
      <w:r w:rsidR="006B2988">
        <w:rPr>
          <w:b/>
          <w:bCs/>
        </w:rPr>
        <w:t>A</w:t>
      </w:r>
      <w:r>
        <w:rPr>
          <w:b/>
          <w:bCs/>
        </w:rPr>
        <w:t>dher</w:t>
      </w:r>
      <w:r w:rsidR="006B2988">
        <w:rPr>
          <w:b/>
          <w:bCs/>
        </w:rPr>
        <w:t xml:space="preserve">ing </w:t>
      </w:r>
      <w:r>
        <w:rPr>
          <w:b/>
          <w:bCs/>
        </w:rPr>
        <w:t>to ESG or Sustainability Factors</w:t>
      </w:r>
    </w:p>
    <w:p w14:paraId="519BACF7" w14:textId="77777777" w:rsidR="00956314" w:rsidRDefault="00956314" w:rsidP="00956314">
      <w:pPr>
        <w:pStyle w:val="NoSpacing"/>
      </w:pPr>
    </w:p>
    <w:p w14:paraId="58D8A94F" w14:textId="7243174C" w:rsidR="000A61C8" w:rsidRDefault="00D82D43" w:rsidP="00264D12">
      <w:pPr>
        <w:pStyle w:val="NoSpacing"/>
        <w:jc w:val="both"/>
      </w:pPr>
      <w:r>
        <w:t xml:space="preserve">The Fund will </w:t>
      </w:r>
      <w:r w:rsidR="00EC4233">
        <w:t xml:space="preserve">allocate all its commitments to sustainable infrastructure projects of the type described above, </w:t>
      </w:r>
      <w:r w:rsidR="00EC4233" w:rsidRPr="00D82D43">
        <w:rPr>
          <w:rFonts w:cs="Arial"/>
        </w:rPr>
        <w:t>renewable energy projects and technologies and in businesses enabling greater penetration of renewable energy</w:t>
      </w:r>
      <w:r w:rsidR="00EC4233">
        <w:rPr>
          <w:rFonts w:cs="Arial"/>
        </w:rPr>
        <w:t>.</w:t>
      </w:r>
      <w:r w:rsidR="00EC4233">
        <w:t xml:space="preserve">  </w:t>
      </w:r>
      <w:r w:rsidR="002214E7" w:rsidRPr="00D26B6F">
        <w:t xml:space="preserve">The fund will not be investing in any </w:t>
      </w:r>
      <w:r w:rsidR="00EC4233">
        <w:t xml:space="preserve">other type of </w:t>
      </w:r>
      <w:r w:rsidR="002214E7" w:rsidRPr="00D26B6F">
        <w:t>assets</w:t>
      </w:r>
      <w:r w:rsidR="001F4240" w:rsidRPr="00D26B6F">
        <w:t>.</w:t>
      </w:r>
      <w:r w:rsidR="00D26B6F">
        <w:t xml:space="preserve">  As required under SFDR </w:t>
      </w:r>
      <w:r w:rsidR="00836A08">
        <w:t>draft rules</w:t>
      </w:r>
      <w:r w:rsidR="00D26B6F">
        <w:t>, a graphical illustration is provided below.</w:t>
      </w:r>
    </w:p>
    <w:p w14:paraId="3104C128" w14:textId="1E72DBD2" w:rsidR="007B27D6" w:rsidRDefault="007B27D6" w:rsidP="00264D12">
      <w:pPr>
        <w:pStyle w:val="NoSpacing"/>
        <w:jc w:val="both"/>
      </w:pPr>
    </w:p>
    <w:p w14:paraId="3767DB49" w14:textId="14DA1B8A" w:rsidR="007B27D6" w:rsidRDefault="007B27D6" w:rsidP="00A96254">
      <w:pPr>
        <w:pStyle w:val="NoSpacing"/>
        <w:jc w:val="center"/>
      </w:pPr>
      <w:r>
        <w:rPr>
          <w:noProof/>
          <w:lang w:val="en-US" w:eastAsia="zh-CN"/>
        </w:rPr>
        <w:drawing>
          <wp:inline distT="0" distB="0" distL="0" distR="0" wp14:anchorId="0E5F28E5" wp14:editId="5ABF73F2">
            <wp:extent cx="5267325" cy="23526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B0C596" w14:textId="1E2D4219" w:rsidR="000A61C8" w:rsidRDefault="000A61C8" w:rsidP="00956314">
      <w:pPr>
        <w:pStyle w:val="NoSpacing"/>
      </w:pPr>
    </w:p>
    <w:p w14:paraId="494D81D6" w14:textId="77777777" w:rsidR="00642787" w:rsidRDefault="00642787" w:rsidP="00956314">
      <w:pPr>
        <w:pStyle w:val="NoSpacing"/>
      </w:pPr>
    </w:p>
    <w:p w14:paraId="7AD8A78E" w14:textId="2709C9C6" w:rsidR="00F31619" w:rsidRPr="00A5370E" w:rsidRDefault="00F31619" w:rsidP="000A61C8">
      <w:pPr>
        <w:pStyle w:val="NoSpacing"/>
        <w:numPr>
          <w:ilvl w:val="0"/>
          <w:numId w:val="4"/>
        </w:numPr>
        <w:rPr>
          <w:b/>
          <w:bCs/>
        </w:rPr>
      </w:pPr>
      <w:bookmarkStart w:id="1" w:name="_Hlk86655041"/>
      <w:r w:rsidRPr="00A5370E">
        <w:rPr>
          <w:b/>
          <w:bCs/>
        </w:rPr>
        <w:t>Proportion of Investments aligned with the EU Taxonomy</w:t>
      </w:r>
    </w:p>
    <w:bookmarkEnd w:id="1"/>
    <w:p w14:paraId="00FF814A" w14:textId="77777777" w:rsidR="00F31619" w:rsidRPr="00A5370E" w:rsidRDefault="00F31619" w:rsidP="00F31619">
      <w:pPr>
        <w:pStyle w:val="NoSpacing"/>
        <w:ind w:left="360"/>
        <w:jc w:val="both"/>
      </w:pPr>
    </w:p>
    <w:p w14:paraId="37DB046E" w14:textId="015A4E5F" w:rsidR="00F31619" w:rsidRPr="00A5370E" w:rsidRDefault="00F31619" w:rsidP="00F31619">
      <w:pPr>
        <w:pStyle w:val="NoSpacing"/>
        <w:jc w:val="both"/>
      </w:pPr>
      <w:r w:rsidRPr="00A5370E">
        <w:t>The EU Taxonomy applies to sustainable investments with environmental objectives initially</w:t>
      </w:r>
      <w:r w:rsidR="00351667">
        <w:t>, and</w:t>
      </w:r>
      <w:r w:rsidRPr="00A5370E">
        <w:t xml:space="preserve"> from </w:t>
      </w:r>
      <w:bookmarkStart w:id="2" w:name="_Hlk86651895"/>
      <w:r w:rsidRPr="00A5370E">
        <w:t>1 January 2022 to</w:t>
      </w:r>
      <w:bookmarkEnd w:id="2"/>
      <w:r w:rsidRPr="00A5370E">
        <w:t xml:space="preserve"> the climate change mitigation and adaptation objectives. </w:t>
      </w:r>
    </w:p>
    <w:p w14:paraId="595B63A2" w14:textId="77777777" w:rsidR="00F31619" w:rsidRPr="00A5370E" w:rsidRDefault="00F31619" w:rsidP="00F31619">
      <w:pPr>
        <w:pStyle w:val="NoSpacing"/>
        <w:jc w:val="both"/>
      </w:pPr>
    </w:p>
    <w:p w14:paraId="44319E63" w14:textId="7221ADD3" w:rsidR="00436D2E" w:rsidRPr="00A5370E" w:rsidRDefault="006637D5" w:rsidP="005C208C">
      <w:pPr>
        <w:pStyle w:val="NoSpacing"/>
        <w:jc w:val="both"/>
        <w:rPr>
          <w:bCs/>
        </w:rPr>
      </w:pPr>
      <w:r w:rsidRPr="00A5370E">
        <w:t xml:space="preserve">As above, the Fund will contribute to the </w:t>
      </w:r>
      <w:r w:rsidRPr="00A5370E">
        <w:rPr>
          <w:szCs w:val="24"/>
        </w:rPr>
        <w:t>climate change mitigation</w:t>
      </w:r>
      <w:r w:rsidR="00781573" w:rsidRPr="00A5370E">
        <w:rPr>
          <w:szCs w:val="24"/>
        </w:rPr>
        <w:t xml:space="preserve"> and adaption</w:t>
      </w:r>
      <w:r w:rsidRPr="00A5370E">
        <w:rPr>
          <w:szCs w:val="24"/>
        </w:rPr>
        <w:t xml:space="preserve"> environmental objective</w:t>
      </w:r>
      <w:r w:rsidR="00333361" w:rsidRPr="00A5370E">
        <w:rPr>
          <w:szCs w:val="24"/>
        </w:rPr>
        <w:t>s</w:t>
      </w:r>
      <w:r w:rsidRPr="00A5370E">
        <w:rPr>
          <w:szCs w:val="24"/>
        </w:rPr>
        <w:t xml:space="preserve"> under the Taxonomy Regulation.  Various types of renewable energy are subject to the (</w:t>
      </w:r>
      <w:r w:rsidR="00836A08" w:rsidRPr="00A5370E">
        <w:rPr>
          <w:szCs w:val="24"/>
        </w:rPr>
        <w:t xml:space="preserve">currently </w:t>
      </w:r>
      <w:r w:rsidRPr="00A5370E">
        <w:rPr>
          <w:szCs w:val="24"/>
        </w:rPr>
        <w:t xml:space="preserve">final draft) technical screening criteria for economic activities that contribute substantially to climate change mitigation.  The Fund will therefore seek to align </w:t>
      </w:r>
      <w:r w:rsidR="00495680" w:rsidRPr="00A5370E">
        <w:rPr>
          <w:szCs w:val="24"/>
        </w:rPr>
        <w:t xml:space="preserve">the Fund’s investments with the Taxonomy Regulation </w:t>
      </w:r>
      <w:r w:rsidR="00436D2E" w:rsidRPr="00A5370E">
        <w:rPr>
          <w:szCs w:val="24"/>
        </w:rPr>
        <w:t>to the extent possible</w:t>
      </w:r>
      <w:r w:rsidR="005C208C" w:rsidRPr="00A5370E">
        <w:rPr>
          <w:szCs w:val="24"/>
        </w:rPr>
        <w:t xml:space="preserve">.  </w:t>
      </w:r>
    </w:p>
    <w:p w14:paraId="207B9E3E" w14:textId="77777777" w:rsidR="00436D2E" w:rsidRPr="00A5370E" w:rsidRDefault="00436D2E" w:rsidP="00495680">
      <w:pPr>
        <w:pStyle w:val="NoSpacing"/>
        <w:rPr>
          <w:bCs/>
        </w:rPr>
      </w:pPr>
    </w:p>
    <w:p w14:paraId="6CCFCE5F" w14:textId="4E4F21DD" w:rsidR="00436D2E" w:rsidRPr="00A5370E" w:rsidRDefault="00436D2E" w:rsidP="00043EEF">
      <w:pPr>
        <w:pStyle w:val="NoSpacing"/>
        <w:jc w:val="both"/>
        <w:rPr>
          <w:bCs/>
        </w:rPr>
      </w:pPr>
      <w:r w:rsidRPr="00A5370E">
        <w:rPr>
          <w:bCs/>
        </w:rPr>
        <w:t>Temporis will report on alignment of the portfolio with the Taxonomy Regulation as part of its ongoing reporting to investors.</w:t>
      </w:r>
    </w:p>
    <w:p w14:paraId="49DA5DC6" w14:textId="77777777" w:rsidR="00436D2E" w:rsidRPr="00A5370E" w:rsidRDefault="00436D2E" w:rsidP="00495680">
      <w:pPr>
        <w:pStyle w:val="NoSpacing"/>
        <w:rPr>
          <w:bCs/>
        </w:rPr>
      </w:pPr>
    </w:p>
    <w:p w14:paraId="7342E3F7" w14:textId="7AB799E6" w:rsidR="00495680" w:rsidRPr="00A5370E" w:rsidRDefault="00436D2E" w:rsidP="00043EEF">
      <w:pPr>
        <w:pStyle w:val="NoSpacing"/>
        <w:jc w:val="both"/>
        <w:rPr>
          <w:bCs/>
        </w:rPr>
      </w:pPr>
      <w:r w:rsidRPr="00A5370E">
        <w:rPr>
          <w:bCs/>
        </w:rPr>
        <w:t>T</w:t>
      </w:r>
      <w:r w:rsidR="00495680" w:rsidRPr="00A5370E">
        <w:rPr>
          <w:bCs/>
        </w:rPr>
        <w:t>he Fund may invest in economic activities that are not environmentally sustainable because the economic activity is not covered by the EU Taxonomy.</w:t>
      </w:r>
      <w:r w:rsidRPr="00A5370E">
        <w:rPr>
          <w:bCs/>
        </w:rPr>
        <w:t xml:space="preserve">  </w:t>
      </w:r>
      <w:r w:rsidR="00495680" w:rsidRPr="00A5370E">
        <w:rPr>
          <w:bCs/>
        </w:rPr>
        <w:t>The Fund may also not be able to obtain relevant information to assess alignment with the EU Taxonomy.</w:t>
      </w:r>
    </w:p>
    <w:p w14:paraId="74A7388C" w14:textId="77777777" w:rsidR="00495680" w:rsidRPr="00A5370E" w:rsidRDefault="00495680" w:rsidP="00495680">
      <w:pPr>
        <w:pStyle w:val="NoSpacing"/>
        <w:rPr>
          <w:b/>
          <w:bCs/>
        </w:rPr>
      </w:pPr>
    </w:p>
    <w:p w14:paraId="6DB41D54" w14:textId="671797C1" w:rsidR="00043EEF" w:rsidRPr="00A5370E" w:rsidRDefault="00495680" w:rsidP="00836A08">
      <w:pPr>
        <w:pStyle w:val="NoSpacing"/>
        <w:jc w:val="both"/>
        <w:rPr>
          <w:bCs/>
        </w:rPr>
      </w:pPr>
      <w:r w:rsidRPr="00A5370E">
        <w:rPr>
          <w:bCs/>
        </w:rPr>
        <w:t xml:space="preserve">For sustainable investments within scope of the Taxonomy Regulation and in taxonomy-aligned activities, prior to making the investment, </w:t>
      </w:r>
      <w:r w:rsidR="00043EEF" w:rsidRPr="00A5370E">
        <w:rPr>
          <w:bCs/>
        </w:rPr>
        <w:t>Temporis</w:t>
      </w:r>
      <w:r w:rsidRPr="00A5370E">
        <w:rPr>
          <w:bCs/>
        </w:rPr>
        <w:t xml:space="preserve"> will ensure that the investment does no significant harm to the other environmental objectives in accordance with the criteria in the Taxonomy Regulation.</w:t>
      </w:r>
      <w:r w:rsidR="00836A08" w:rsidRPr="00A5370E">
        <w:rPr>
          <w:bCs/>
        </w:rPr>
        <w:t xml:space="preserve">  </w:t>
      </w:r>
      <w:r w:rsidRPr="00A5370E">
        <w:rPr>
          <w:bCs/>
        </w:rPr>
        <w:t xml:space="preserve">For all other investments, prior to making the investment, </w:t>
      </w:r>
      <w:r w:rsidR="00043EEF" w:rsidRPr="00A5370E">
        <w:rPr>
          <w:bCs/>
        </w:rPr>
        <w:t>Temporis will apply the significant harm test ou</w:t>
      </w:r>
      <w:r w:rsidR="00640682" w:rsidRPr="00A5370E">
        <w:rPr>
          <w:bCs/>
        </w:rPr>
        <w:t>t</w:t>
      </w:r>
      <w:r w:rsidR="00043EEF" w:rsidRPr="00A5370E">
        <w:rPr>
          <w:bCs/>
        </w:rPr>
        <w:t>lined in Section 6 below.</w:t>
      </w:r>
    </w:p>
    <w:p w14:paraId="0F25A5E7" w14:textId="325A39C7" w:rsidR="00640682" w:rsidRPr="004B68E9" w:rsidRDefault="00640682" w:rsidP="00836A08">
      <w:pPr>
        <w:pStyle w:val="NoSpacing"/>
        <w:jc w:val="both"/>
        <w:rPr>
          <w:bCs/>
          <w:highlight w:val="yellow"/>
        </w:rPr>
      </w:pPr>
    </w:p>
    <w:p w14:paraId="4E315875" w14:textId="60A80FF2" w:rsidR="00495680" w:rsidRPr="00A5370E" w:rsidRDefault="00495680" w:rsidP="00043EEF">
      <w:pPr>
        <w:pStyle w:val="NoSpacing"/>
        <w:jc w:val="both"/>
        <w:rPr>
          <w:bCs/>
        </w:rPr>
      </w:pPr>
      <w:r w:rsidRPr="00A5370E">
        <w:rPr>
          <w:bCs/>
        </w:rPr>
        <w:lastRenderedPageBreak/>
        <w:t xml:space="preserve">During the Fund’s period of ownership, </w:t>
      </w:r>
      <w:r w:rsidR="00043EEF" w:rsidRPr="00A5370E">
        <w:rPr>
          <w:bCs/>
        </w:rPr>
        <w:t>Temporis</w:t>
      </w:r>
      <w:r w:rsidRPr="00A5370E">
        <w:rPr>
          <w:bCs/>
        </w:rPr>
        <w:t xml:space="preserve"> will monitor the investment and ensure, to the extent</w:t>
      </w:r>
      <w:r w:rsidR="00351667">
        <w:rPr>
          <w:bCs/>
        </w:rPr>
        <w:t xml:space="preserve"> possible</w:t>
      </w:r>
      <w:r w:rsidR="00836A08" w:rsidRPr="00A5370E">
        <w:rPr>
          <w:bCs/>
        </w:rPr>
        <w:t>,</w:t>
      </w:r>
      <w:r w:rsidR="00043EEF" w:rsidRPr="00A5370E">
        <w:rPr>
          <w:bCs/>
        </w:rPr>
        <w:t xml:space="preserve"> </w:t>
      </w:r>
      <w:r w:rsidRPr="00A5370E">
        <w:rPr>
          <w:bCs/>
        </w:rPr>
        <w:t>that the</w:t>
      </w:r>
      <w:r w:rsidR="00043EEF" w:rsidRPr="00A5370E">
        <w:rPr>
          <w:bCs/>
        </w:rPr>
        <w:t xml:space="preserve"> </w:t>
      </w:r>
      <w:r w:rsidRPr="00A5370E">
        <w:rPr>
          <w:bCs/>
        </w:rPr>
        <w:t xml:space="preserve">investment does not significantly harm other sustainable investment objectives in accordance with the criteria described above. </w:t>
      </w:r>
      <w:r w:rsidR="00043EEF" w:rsidRPr="00A5370E">
        <w:rPr>
          <w:bCs/>
        </w:rPr>
        <w:t xml:space="preserve">Temporis </w:t>
      </w:r>
      <w:r w:rsidRPr="00A5370E">
        <w:rPr>
          <w:bCs/>
        </w:rPr>
        <w:t>cannot ensure that the investment does not significantly harm other sustainable investment objectives during the Fund’s period of ownership.</w:t>
      </w:r>
    </w:p>
    <w:p w14:paraId="2FDC0439" w14:textId="77777777" w:rsidR="003F2B80" w:rsidRPr="00A5370E" w:rsidRDefault="003F2B80" w:rsidP="00043EEF">
      <w:pPr>
        <w:pStyle w:val="NoSpacing"/>
        <w:jc w:val="both"/>
        <w:rPr>
          <w:bCs/>
        </w:rPr>
      </w:pPr>
    </w:p>
    <w:p w14:paraId="269ABD93" w14:textId="6ED408BC" w:rsidR="003F2B80" w:rsidRDefault="003F2B80" w:rsidP="00043EEF">
      <w:pPr>
        <w:pStyle w:val="NoSpacing"/>
        <w:jc w:val="both"/>
        <w:rPr>
          <w:bCs/>
        </w:rPr>
      </w:pPr>
      <w:r w:rsidRPr="00A5370E">
        <w:rPr>
          <w:bCs/>
        </w:rPr>
        <w:t>The Fund will invest in both transitional and enabling activities</w:t>
      </w:r>
      <w:r w:rsidR="00316A00" w:rsidRPr="00A5370E">
        <w:rPr>
          <w:bCs/>
        </w:rPr>
        <w:t xml:space="preserve"> - </w:t>
      </w:r>
      <w:r w:rsidR="00A746EF" w:rsidRPr="00A5370E">
        <w:rPr>
          <w:bCs/>
        </w:rPr>
        <w:t>transitional activities contribute to climate change mitigatio</w:t>
      </w:r>
      <w:r w:rsidR="00DC7EA6" w:rsidRPr="00A5370E">
        <w:rPr>
          <w:bCs/>
        </w:rPr>
        <w:t>n by supporting the transition to a climate-neutral economy, such as renewable energ</w:t>
      </w:r>
      <w:r w:rsidR="0070753A" w:rsidRPr="00A5370E">
        <w:rPr>
          <w:bCs/>
        </w:rPr>
        <w:t>y, by phasing out greenhouse gas emissions.  Enabling activities directly</w:t>
      </w:r>
      <w:r w:rsidR="005E66FE" w:rsidRPr="00A5370E">
        <w:rPr>
          <w:bCs/>
        </w:rPr>
        <w:t xml:space="preserve"> </w:t>
      </w:r>
      <w:r w:rsidR="0070753A" w:rsidRPr="00A5370E">
        <w:rPr>
          <w:bCs/>
        </w:rPr>
        <w:t>e</w:t>
      </w:r>
      <w:r w:rsidR="005E66FE" w:rsidRPr="00A5370E">
        <w:rPr>
          <w:bCs/>
        </w:rPr>
        <w:t xml:space="preserve">nable other activities to contribute to climate change mitigation or adaption, </w:t>
      </w:r>
      <w:r w:rsidR="00E8481D" w:rsidRPr="00A5370E">
        <w:rPr>
          <w:bCs/>
        </w:rPr>
        <w:t>such as energy storage or distribution</w:t>
      </w:r>
      <w:r w:rsidR="00CC710B" w:rsidRPr="00A5370E">
        <w:rPr>
          <w:bCs/>
        </w:rPr>
        <w:t>.</w:t>
      </w:r>
      <w:r w:rsidR="00CC710B">
        <w:rPr>
          <w:bCs/>
        </w:rPr>
        <w:t xml:space="preserve"> </w:t>
      </w:r>
    </w:p>
    <w:p w14:paraId="2C473554" w14:textId="77777777" w:rsidR="00043EEF" w:rsidRPr="00495680" w:rsidRDefault="00043EEF" w:rsidP="003F2B80">
      <w:pPr>
        <w:pStyle w:val="NoSpacing"/>
        <w:jc w:val="center"/>
        <w:rPr>
          <w:bCs/>
        </w:rPr>
      </w:pPr>
    </w:p>
    <w:p w14:paraId="21131821" w14:textId="3C8820C4" w:rsidR="00956314" w:rsidRDefault="000A61C8" w:rsidP="000A61C8">
      <w:pPr>
        <w:pStyle w:val="NoSpacing"/>
        <w:numPr>
          <w:ilvl w:val="0"/>
          <w:numId w:val="4"/>
        </w:numPr>
        <w:rPr>
          <w:b/>
          <w:bCs/>
        </w:rPr>
      </w:pPr>
      <w:r w:rsidRPr="000A61C8">
        <w:rPr>
          <w:b/>
          <w:bCs/>
        </w:rPr>
        <w:t>No Significant Harm to the Sustainable Investment Objective</w:t>
      </w:r>
    </w:p>
    <w:p w14:paraId="4D5DE362" w14:textId="25E8FAD3" w:rsidR="000A61C8" w:rsidRDefault="000A61C8" w:rsidP="000A61C8">
      <w:pPr>
        <w:pStyle w:val="NoSpacing"/>
        <w:rPr>
          <w:b/>
          <w:bCs/>
        </w:rPr>
      </w:pPr>
    </w:p>
    <w:p w14:paraId="2113F62E" w14:textId="6D003CA7" w:rsidR="00C85122" w:rsidRDefault="005E6A6E" w:rsidP="004B408D">
      <w:pPr>
        <w:pStyle w:val="NoSpacing"/>
        <w:jc w:val="both"/>
      </w:pPr>
      <w:r>
        <w:t>Those s</w:t>
      </w:r>
      <w:r w:rsidR="005F366F">
        <w:t xml:space="preserve">ustainability issues which could manifest into </w:t>
      </w:r>
      <w:r w:rsidR="000A61C8" w:rsidRPr="00635CA5">
        <w:t xml:space="preserve">adverse impacts </w:t>
      </w:r>
      <w:r w:rsidR="00157871">
        <w:t xml:space="preserve">for investors and other stakeholders </w:t>
      </w:r>
      <w:r w:rsidR="000A61C8" w:rsidRPr="00635CA5">
        <w:t xml:space="preserve">are </w:t>
      </w:r>
      <w:r w:rsidR="00C85122">
        <w:t>actioned as set out in below</w:t>
      </w:r>
      <w:r w:rsidR="00A96254">
        <w:t>:</w:t>
      </w:r>
    </w:p>
    <w:p w14:paraId="1DB26B92" w14:textId="24F0641D" w:rsidR="00C85122" w:rsidRDefault="00C85122" w:rsidP="004B408D">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900"/>
      </w:tblGrid>
      <w:tr w:rsidR="00A96254" w:rsidRPr="00D216BC" w14:paraId="7FBD8E03" w14:textId="77777777" w:rsidTr="00F42A93">
        <w:tc>
          <w:tcPr>
            <w:tcW w:w="4116" w:type="dxa"/>
            <w:shd w:val="clear" w:color="auto" w:fill="00B050"/>
          </w:tcPr>
          <w:p w14:paraId="1136F2DF" w14:textId="77777777" w:rsidR="00A96254" w:rsidRPr="00462A40" w:rsidRDefault="00A96254" w:rsidP="00F42A93">
            <w:pPr>
              <w:spacing w:after="0" w:line="240" w:lineRule="auto"/>
              <w:jc w:val="both"/>
              <w:rPr>
                <w:rFonts w:ascii="Calibri" w:hAnsi="Calibri" w:cs="Calibri"/>
                <w:b/>
                <w:bCs/>
              </w:rPr>
            </w:pPr>
            <w:r w:rsidRPr="00462A40">
              <w:rPr>
                <w:rFonts w:ascii="Calibri" w:hAnsi="Calibri" w:cs="Calibri"/>
                <w:b/>
                <w:bCs/>
              </w:rPr>
              <w:t xml:space="preserve">Environmental Issues  </w:t>
            </w:r>
          </w:p>
        </w:tc>
        <w:tc>
          <w:tcPr>
            <w:tcW w:w="4900" w:type="dxa"/>
            <w:shd w:val="clear" w:color="auto" w:fill="00B050"/>
          </w:tcPr>
          <w:p w14:paraId="040FFEE7" w14:textId="77777777" w:rsidR="00A96254" w:rsidRPr="00462A40" w:rsidRDefault="00A96254" w:rsidP="00F42A93">
            <w:pPr>
              <w:spacing w:after="0" w:line="240" w:lineRule="auto"/>
              <w:jc w:val="both"/>
              <w:rPr>
                <w:rFonts w:ascii="Calibri" w:hAnsi="Calibri" w:cs="Calibri"/>
                <w:b/>
                <w:bCs/>
              </w:rPr>
            </w:pPr>
            <w:r w:rsidRPr="00462A40">
              <w:rPr>
                <w:rFonts w:ascii="Calibri" w:hAnsi="Calibri" w:cs="Calibri"/>
                <w:b/>
                <w:bCs/>
              </w:rPr>
              <w:t xml:space="preserve">Temporis Actions   </w:t>
            </w:r>
          </w:p>
          <w:p w14:paraId="74B285A2" w14:textId="77777777" w:rsidR="00A96254" w:rsidRPr="00462A40" w:rsidRDefault="00A96254" w:rsidP="00F42A93">
            <w:pPr>
              <w:spacing w:after="0" w:line="240" w:lineRule="auto"/>
              <w:jc w:val="both"/>
              <w:rPr>
                <w:rFonts w:ascii="Calibri" w:hAnsi="Calibri" w:cs="Calibri"/>
                <w:b/>
                <w:bCs/>
              </w:rPr>
            </w:pPr>
          </w:p>
        </w:tc>
      </w:tr>
      <w:tr w:rsidR="00A96254" w:rsidRPr="00D216BC" w14:paraId="238D7277" w14:textId="77777777" w:rsidTr="00F42A93">
        <w:tc>
          <w:tcPr>
            <w:tcW w:w="4116" w:type="dxa"/>
            <w:shd w:val="clear" w:color="auto" w:fill="auto"/>
          </w:tcPr>
          <w:p w14:paraId="25FDF42A"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Planning</w:t>
            </w:r>
          </w:p>
        </w:tc>
        <w:tc>
          <w:tcPr>
            <w:tcW w:w="4900" w:type="dxa"/>
            <w:shd w:val="clear" w:color="auto" w:fill="auto"/>
          </w:tcPr>
          <w:p w14:paraId="1A8CB877"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 xml:space="preserve">Temporis </w:t>
            </w:r>
            <w:r>
              <w:rPr>
                <w:rFonts w:ascii="Calibri" w:hAnsi="Calibri" w:cs="Calibri"/>
              </w:rPr>
              <w:t xml:space="preserve">ensures that all projects are managed in accordance with planning laws and permissions and that land and access rights are respected. </w:t>
            </w:r>
          </w:p>
        </w:tc>
      </w:tr>
      <w:tr w:rsidR="00A96254" w:rsidRPr="00D216BC" w14:paraId="3A52C731" w14:textId="77777777" w:rsidTr="00F42A93">
        <w:tc>
          <w:tcPr>
            <w:tcW w:w="4116" w:type="dxa"/>
            <w:shd w:val="clear" w:color="auto" w:fill="auto"/>
          </w:tcPr>
          <w:p w14:paraId="046D12C8"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Ecology</w:t>
            </w:r>
          </w:p>
        </w:tc>
        <w:tc>
          <w:tcPr>
            <w:tcW w:w="4900" w:type="dxa"/>
            <w:shd w:val="clear" w:color="auto" w:fill="auto"/>
          </w:tcPr>
          <w:p w14:paraId="67762412"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Temporis monitors its projects through the entire life cycle to ensure that there is no ecological damage. This often includes appointing suitably qualified third-party experts</w:t>
            </w:r>
            <w:r>
              <w:rPr>
                <w:rFonts w:ascii="Calibri" w:hAnsi="Calibri" w:cs="Calibri"/>
              </w:rPr>
              <w:t>.</w:t>
            </w:r>
          </w:p>
        </w:tc>
      </w:tr>
      <w:tr w:rsidR="00A96254" w:rsidRPr="00D216BC" w14:paraId="6F736E86" w14:textId="77777777" w:rsidTr="00F42A93">
        <w:tc>
          <w:tcPr>
            <w:tcW w:w="4116" w:type="dxa"/>
            <w:shd w:val="clear" w:color="auto" w:fill="auto"/>
          </w:tcPr>
          <w:p w14:paraId="14B077EC" w14:textId="3D032E9A" w:rsidR="00A96254" w:rsidRPr="00F8395A" w:rsidRDefault="00A96254" w:rsidP="00642593">
            <w:pPr>
              <w:spacing w:after="0" w:line="240" w:lineRule="auto"/>
              <w:rPr>
                <w:rFonts w:ascii="Calibri" w:hAnsi="Calibri" w:cs="Calibri"/>
                <w:highlight w:val="yellow"/>
              </w:rPr>
            </w:pPr>
            <w:r w:rsidRPr="00F8395A">
              <w:rPr>
                <w:rFonts w:ascii="Calibri" w:hAnsi="Calibri" w:cs="Calibri"/>
              </w:rPr>
              <w:t xml:space="preserve">Noise, Shadow Flicker, TV </w:t>
            </w:r>
            <w:r w:rsidR="00642593">
              <w:rPr>
                <w:rFonts w:ascii="Calibri" w:hAnsi="Calibri" w:cs="Calibri"/>
              </w:rPr>
              <w:t>and</w:t>
            </w:r>
            <w:r w:rsidRPr="00F8395A">
              <w:rPr>
                <w:rFonts w:ascii="Calibri" w:hAnsi="Calibri" w:cs="Calibri"/>
              </w:rPr>
              <w:t xml:space="preserve"> Radio Interference</w:t>
            </w:r>
          </w:p>
        </w:tc>
        <w:tc>
          <w:tcPr>
            <w:tcW w:w="4900" w:type="dxa"/>
            <w:shd w:val="clear" w:color="auto" w:fill="auto"/>
          </w:tcPr>
          <w:p w14:paraId="50F55966" w14:textId="77777777" w:rsidR="00A96254" w:rsidRPr="00F8395A" w:rsidRDefault="00A96254" w:rsidP="00F42A93">
            <w:pPr>
              <w:spacing w:after="0" w:line="240" w:lineRule="auto"/>
              <w:jc w:val="both"/>
              <w:rPr>
                <w:rFonts w:ascii="Calibri" w:hAnsi="Calibri" w:cs="Calibri"/>
                <w:highlight w:val="yellow"/>
              </w:rPr>
            </w:pPr>
            <w:r w:rsidRPr="00F8395A">
              <w:rPr>
                <w:rFonts w:ascii="Calibri" w:hAnsi="Calibri" w:cs="Calibri"/>
              </w:rPr>
              <w:t>Impact assessments are undertaken prior to construction to determine if any dwellings might be impacted. In certain cases</w:t>
            </w:r>
            <w:r>
              <w:rPr>
                <w:rFonts w:ascii="Calibri" w:hAnsi="Calibri" w:cs="Calibri"/>
              </w:rPr>
              <w:t>,</w:t>
            </w:r>
            <w:r w:rsidRPr="00F8395A">
              <w:rPr>
                <w:rFonts w:ascii="Calibri" w:hAnsi="Calibri" w:cs="Calibri"/>
              </w:rPr>
              <w:t xml:space="preserve"> equipment may be installed at construction to have an immediate remedy available. All complaints are treated sympathetically and quickly with remedies implemented at the cost of the project</w:t>
            </w:r>
            <w:r>
              <w:rPr>
                <w:rFonts w:ascii="Calibri" w:hAnsi="Calibri" w:cs="Calibri"/>
              </w:rPr>
              <w:t>.</w:t>
            </w:r>
          </w:p>
        </w:tc>
      </w:tr>
      <w:tr w:rsidR="00A96254" w:rsidRPr="00D216BC" w14:paraId="2A983199" w14:textId="77777777" w:rsidTr="00F42A93">
        <w:tc>
          <w:tcPr>
            <w:tcW w:w="4116" w:type="dxa"/>
            <w:shd w:val="clear" w:color="auto" w:fill="auto"/>
          </w:tcPr>
          <w:p w14:paraId="3A640E08" w14:textId="77777777" w:rsidR="00A96254" w:rsidRPr="00F8395A" w:rsidRDefault="00A96254" w:rsidP="00F42A93">
            <w:pPr>
              <w:jc w:val="both"/>
              <w:rPr>
                <w:rFonts w:ascii="Calibri" w:hAnsi="Calibri" w:cs="Calibri"/>
                <w:highlight w:val="yellow"/>
              </w:rPr>
            </w:pPr>
            <w:r w:rsidRPr="00F8395A">
              <w:rPr>
                <w:rFonts w:ascii="Calibri" w:hAnsi="Calibri" w:cs="Calibri"/>
              </w:rPr>
              <w:t>Landscaping</w:t>
            </w:r>
          </w:p>
        </w:tc>
        <w:tc>
          <w:tcPr>
            <w:tcW w:w="4900" w:type="dxa"/>
            <w:shd w:val="clear" w:color="auto" w:fill="auto"/>
          </w:tcPr>
          <w:p w14:paraId="2B7B0C6B" w14:textId="77777777" w:rsidR="00A96254" w:rsidRPr="00F8395A" w:rsidRDefault="00A96254" w:rsidP="00F42A93">
            <w:pPr>
              <w:spacing w:after="0" w:line="240" w:lineRule="auto"/>
              <w:jc w:val="both"/>
              <w:rPr>
                <w:rFonts w:ascii="Calibri" w:hAnsi="Calibri" w:cs="Calibri"/>
                <w:highlight w:val="yellow"/>
              </w:rPr>
            </w:pPr>
            <w:r w:rsidRPr="00F8395A">
              <w:rPr>
                <w:rFonts w:ascii="Calibri" w:hAnsi="Calibri" w:cs="Calibri"/>
              </w:rPr>
              <w:t>Landscaping is implemented in accordance with planning with sympathy to the local environment. On decommissioning</w:t>
            </w:r>
            <w:r>
              <w:rPr>
                <w:rFonts w:ascii="Calibri" w:hAnsi="Calibri" w:cs="Calibri"/>
              </w:rPr>
              <w:t>,</w:t>
            </w:r>
            <w:r w:rsidRPr="00F8395A">
              <w:rPr>
                <w:rFonts w:ascii="Calibri" w:hAnsi="Calibri" w:cs="Calibri"/>
              </w:rPr>
              <w:t xml:space="preserve"> the site will be restored to the agreed planning condition ordinarily back to its original status.</w:t>
            </w:r>
          </w:p>
        </w:tc>
      </w:tr>
      <w:tr w:rsidR="00A96254" w:rsidRPr="00D216BC" w14:paraId="12FBD1AC" w14:textId="77777777" w:rsidTr="00F42A93">
        <w:tc>
          <w:tcPr>
            <w:tcW w:w="4116" w:type="dxa"/>
            <w:shd w:val="clear" w:color="auto" w:fill="auto"/>
          </w:tcPr>
          <w:p w14:paraId="2BB3946C" w14:textId="77777777" w:rsidR="00A96254" w:rsidRPr="00F8395A" w:rsidRDefault="00A96254" w:rsidP="00F42A93">
            <w:pPr>
              <w:spacing w:after="0" w:line="240" w:lineRule="auto"/>
              <w:jc w:val="both"/>
              <w:rPr>
                <w:rFonts w:ascii="Calibri" w:hAnsi="Calibri" w:cs="Calibri"/>
                <w:highlight w:val="yellow"/>
              </w:rPr>
            </w:pPr>
            <w:r w:rsidRPr="00F8395A">
              <w:rPr>
                <w:rFonts w:ascii="Calibri" w:hAnsi="Calibri" w:cs="Calibri"/>
              </w:rPr>
              <w:t>Hydrology</w:t>
            </w:r>
          </w:p>
        </w:tc>
        <w:tc>
          <w:tcPr>
            <w:tcW w:w="4900" w:type="dxa"/>
            <w:shd w:val="clear" w:color="auto" w:fill="auto"/>
          </w:tcPr>
          <w:p w14:paraId="2351C4E9" w14:textId="77777777" w:rsidR="00A96254" w:rsidRPr="00D216BC" w:rsidRDefault="00A96254" w:rsidP="00F42A93">
            <w:pPr>
              <w:spacing w:after="0" w:line="240" w:lineRule="auto"/>
              <w:jc w:val="both"/>
              <w:rPr>
                <w:rFonts w:ascii="Calibri" w:hAnsi="Calibri" w:cs="Calibri"/>
                <w:highlight w:val="yellow"/>
              </w:rPr>
            </w:pPr>
            <w:r w:rsidRPr="001B7F0D">
              <w:rPr>
                <w:rFonts w:ascii="Calibri" w:hAnsi="Calibri" w:cs="Calibri"/>
              </w:rPr>
              <w:t>Hydrological factors are considered throughout the project lifecycle to ensure there is no damage to local watercourses or ground water supplies. Where necessary third-party experts are utilised and statutory authorities such as SEPA are engaged.</w:t>
            </w:r>
          </w:p>
        </w:tc>
      </w:tr>
      <w:tr w:rsidR="00A96254" w:rsidRPr="00D216BC" w14:paraId="0103ACFE" w14:textId="77777777" w:rsidTr="00F42A93">
        <w:tc>
          <w:tcPr>
            <w:tcW w:w="4116" w:type="dxa"/>
            <w:shd w:val="clear" w:color="auto" w:fill="auto"/>
          </w:tcPr>
          <w:p w14:paraId="61A781B5"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Archaeology</w:t>
            </w:r>
          </w:p>
        </w:tc>
        <w:tc>
          <w:tcPr>
            <w:tcW w:w="4900" w:type="dxa"/>
            <w:shd w:val="clear" w:color="auto" w:fill="auto"/>
          </w:tcPr>
          <w:p w14:paraId="7227EEDE"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Working with third party and often local experts Temporis ensures that site archaeology is monitored carefully throughout the project lifecycle</w:t>
            </w:r>
            <w:r>
              <w:rPr>
                <w:rFonts w:ascii="Calibri" w:hAnsi="Calibri" w:cs="Calibri"/>
              </w:rPr>
              <w:t>.</w:t>
            </w:r>
          </w:p>
        </w:tc>
      </w:tr>
      <w:tr w:rsidR="00A96254" w:rsidRPr="00D216BC" w14:paraId="794F1B9F" w14:textId="77777777" w:rsidTr="00F42A93">
        <w:tc>
          <w:tcPr>
            <w:tcW w:w="4116" w:type="dxa"/>
            <w:shd w:val="clear" w:color="auto" w:fill="auto"/>
          </w:tcPr>
          <w:p w14:paraId="051046F2"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Biodiversity</w:t>
            </w:r>
          </w:p>
        </w:tc>
        <w:tc>
          <w:tcPr>
            <w:tcW w:w="4900" w:type="dxa"/>
            <w:shd w:val="clear" w:color="auto" w:fill="auto"/>
          </w:tcPr>
          <w:p w14:paraId="5C7E6E02"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Temporis ensures the full implementation of any biodiversity monitoring or management planning conditions throughout the project lifecycle. Working with third party experts</w:t>
            </w:r>
            <w:r>
              <w:rPr>
                <w:rFonts w:ascii="Calibri" w:hAnsi="Calibri" w:cs="Calibri"/>
              </w:rPr>
              <w:t>,</w:t>
            </w:r>
            <w:r w:rsidRPr="00F8395A">
              <w:rPr>
                <w:rFonts w:ascii="Calibri" w:hAnsi="Calibri" w:cs="Calibri"/>
              </w:rPr>
              <w:t xml:space="preserve"> all local species are sympathetically treated and where necessary may </w:t>
            </w:r>
            <w:r w:rsidRPr="00F8395A">
              <w:rPr>
                <w:rFonts w:ascii="Calibri" w:hAnsi="Calibri" w:cs="Calibri"/>
              </w:rPr>
              <w:lastRenderedPageBreak/>
              <w:t>include ongoing study, such a</w:t>
            </w:r>
            <w:r>
              <w:rPr>
                <w:rFonts w:ascii="Calibri" w:hAnsi="Calibri" w:cs="Calibri"/>
              </w:rPr>
              <w:t>s</w:t>
            </w:r>
            <w:r w:rsidRPr="00F8395A">
              <w:rPr>
                <w:rFonts w:ascii="Calibri" w:hAnsi="Calibri" w:cs="Calibri"/>
              </w:rPr>
              <w:t xml:space="preserve"> specific bird or bat species monitoring</w:t>
            </w:r>
            <w:r>
              <w:rPr>
                <w:rFonts w:ascii="Calibri" w:hAnsi="Calibri" w:cs="Calibri"/>
              </w:rPr>
              <w:t>.</w:t>
            </w:r>
          </w:p>
        </w:tc>
      </w:tr>
      <w:tr w:rsidR="00A96254" w:rsidRPr="00D216BC" w14:paraId="2B9A23CB" w14:textId="77777777" w:rsidTr="00F42A93">
        <w:tc>
          <w:tcPr>
            <w:tcW w:w="4116" w:type="dxa"/>
            <w:shd w:val="clear" w:color="auto" w:fill="auto"/>
          </w:tcPr>
          <w:p w14:paraId="6AE39BFE" w14:textId="1AB3A8F8" w:rsidR="00A96254" w:rsidRPr="00F8395A" w:rsidRDefault="00A96254" w:rsidP="00642593">
            <w:pPr>
              <w:spacing w:after="0" w:line="240" w:lineRule="auto"/>
              <w:jc w:val="both"/>
              <w:rPr>
                <w:rFonts w:ascii="Calibri" w:hAnsi="Calibri" w:cs="Calibri"/>
              </w:rPr>
            </w:pPr>
            <w:r w:rsidRPr="00F8395A">
              <w:rPr>
                <w:rFonts w:ascii="Calibri" w:hAnsi="Calibri" w:cs="Calibri"/>
              </w:rPr>
              <w:lastRenderedPageBreak/>
              <w:t xml:space="preserve">Health </w:t>
            </w:r>
            <w:r w:rsidR="00642593">
              <w:rPr>
                <w:rFonts w:ascii="Calibri" w:hAnsi="Calibri" w:cs="Calibri"/>
              </w:rPr>
              <w:t>and</w:t>
            </w:r>
            <w:r w:rsidRPr="00F8395A">
              <w:rPr>
                <w:rFonts w:ascii="Calibri" w:hAnsi="Calibri" w:cs="Calibri"/>
              </w:rPr>
              <w:t xml:space="preserve"> Safety</w:t>
            </w:r>
          </w:p>
        </w:tc>
        <w:tc>
          <w:tcPr>
            <w:tcW w:w="4900" w:type="dxa"/>
            <w:shd w:val="clear" w:color="auto" w:fill="auto"/>
          </w:tcPr>
          <w:p w14:paraId="38E45B95" w14:textId="77777777" w:rsidR="00A96254" w:rsidRPr="00F8395A" w:rsidRDefault="00A96254" w:rsidP="00F42A93">
            <w:pPr>
              <w:spacing w:after="0" w:line="240" w:lineRule="auto"/>
              <w:jc w:val="both"/>
              <w:rPr>
                <w:rFonts w:ascii="Calibri" w:hAnsi="Calibri" w:cs="Calibri"/>
              </w:rPr>
            </w:pPr>
            <w:r w:rsidRPr="00F8395A">
              <w:rPr>
                <w:rFonts w:ascii="Calibri" w:hAnsi="Calibri" w:cs="Calibri"/>
              </w:rPr>
              <w:t>Temporis evaluates the health and safety records and practices of contractors and monitors them closely during construction and operation. Temporis adopts industry best practice and has a zero-tolerance attitude for unsafe practices.</w:t>
            </w:r>
          </w:p>
        </w:tc>
      </w:tr>
    </w:tbl>
    <w:p w14:paraId="72C52C07" w14:textId="77777777" w:rsidR="00A96254" w:rsidRDefault="00A96254" w:rsidP="004B408D">
      <w:pPr>
        <w:pStyle w:val="NoSpacing"/>
        <w:jc w:val="both"/>
      </w:pPr>
    </w:p>
    <w:p w14:paraId="5787B4FD" w14:textId="1087E27E" w:rsidR="000A61C8" w:rsidRPr="00635CA5" w:rsidRDefault="00CC36DB" w:rsidP="004B408D">
      <w:pPr>
        <w:pStyle w:val="NoSpacing"/>
        <w:jc w:val="both"/>
      </w:pPr>
      <w:r>
        <w:t>The due diligence process</w:t>
      </w:r>
      <w:r w:rsidR="00421010">
        <w:t>es</w:t>
      </w:r>
      <w:r>
        <w:t xml:space="preserve"> </w:t>
      </w:r>
      <w:r w:rsidR="00421010">
        <w:t>s</w:t>
      </w:r>
      <w:r>
        <w:t xml:space="preserve">ummarised </w:t>
      </w:r>
      <w:r w:rsidR="00416D5D">
        <w:t xml:space="preserve">in section </w:t>
      </w:r>
      <w:r w:rsidR="00836A08">
        <w:t>10</w:t>
      </w:r>
      <w:r w:rsidR="00416D5D">
        <w:t xml:space="preserve"> below </w:t>
      </w:r>
      <w:r w:rsidR="00EC1E6D">
        <w:t xml:space="preserve">aim to </w:t>
      </w:r>
      <w:r w:rsidR="00260E0D">
        <w:t xml:space="preserve">exclude any investments which could significantly </w:t>
      </w:r>
      <w:r w:rsidR="00B86AC6">
        <w:t xml:space="preserve">harm </w:t>
      </w:r>
      <w:r w:rsidR="000A61C8" w:rsidRPr="00635CA5">
        <w:t>sustainability</w:t>
      </w:r>
      <w:r w:rsidR="00B86AC6">
        <w:t xml:space="preserve">. </w:t>
      </w:r>
    </w:p>
    <w:p w14:paraId="57EFEB0D" w14:textId="2A19415E" w:rsidR="000A61C8" w:rsidRDefault="000A61C8" w:rsidP="000A61C8">
      <w:pPr>
        <w:pStyle w:val="NoSpacing"/>
        <w:rPr>
          <w:b/>
          <w:bCs/>
        </w:rPr>
      </w:pPr>
    </w:p>
    <w:p w14:paraId="25ED7F5A" w14:textId="3F8E88CF" w:rsidR="000A61C8" w:rsidRDefault="000A61C8" w:rsidP="000A61C8">
      <w:pPr>
        <w:pStyle w:val="NoSpacing"/>
        <w:numPr>
          <w:ilvl w:val="0"/>
          <w:numId w:val="4"/>
        </w:numPr>
        <w:rPr>
          <w:b/>
          <w:bCs/>
        </w:rPr>
      </w:pPr>
      <w:r>
        <w:rPr>
          <w:b/>
          <w:bCs/>
        </w:rPr>
        <w:t xml:space="preserve">Investment Strategy </w:t>
      </w:r>
      <w:r w:rsidR="006B2988">
        <w:rPr>
          <w:b/>
          <w:bCs/>
        </w:rPr>
        <w:t xml:space="preserve">as it relates to </w:t>
      </w:r>
      <w:r>
        <w:rPr>
          <w:b/>
          <w:bCs/>
        </w:rPr>
        <w:t>ESG Characteristics / Sustainability Objectives</w:t>
      </w:r>
    </w:p>
    <w:p w14:paraId="5A235439" w14:textId="77777777" w:rsidR="00A2516E" w:rsidRDefault="00A2516E" w:rsidP="00A2516E">
      <w:pPr>
        <w:pStyle w:val="NoSpacing"/>
        <w:rPr>
          <w:b/>
          <w:bCs/>
        </w:rPr>
      </w:pPr>
    </w:p>
    <w:p w14:paraId="42A80B90" w14:textId="02E99A6C" w:rsidR="00EC4233" w:rsidRDefault="00EC4233" w:rsidP="00EE3E5F">
      <w:pPr>
        <w:pBdr>
          <w:top w:val="nil"/>
          <w:left w:val="nil"/>
          <w:bottom w:val="nil"/>
          <w:right w:val="nil"/>
          <w:between w:val="nil"/>
        </w:pBdr>
        <w:spacing w:after="200"/>
        <w:jc w:val="both"/>
        <w:rPr>
          <w:szCs w:val="24"/>
        </w:rPr>
      </w:pPr>
      <w:r>
        <w:rPr>
          <w:rFonts w:cs="Arial"/>
        </w:rPr>
        <w:t xml:space="preserve">The </w:t>
      </w:r>
      <w:r w:rsidRPr="00D82D43">
        <w:rPr>
          <w:rFonts w:cs="Arial"/>
        </w:rPr>
        <w:t>Fund</w:t>
      </w:r>
      <w:r>
        <w:rPr>
          <w:rFonts w:cs="Arial"/>
        </w:rPr>
        <w:t>’s strategy is to invest</w:t>
      </w:r>
      <w:r w:rsidRPr="00D82D43">
        <w:rPr>
          <w:rFonts w:cs="Arial"/>
        </w:rPr>
        <w:t xml:space="preserve"> in a diversified portfolio of renewable energy projects and technologies and in businesses enabling greater penetration of renewable energy</w:t>
      </w:r>
      <w:r>
        <w:rPr>
          <w:rFonts w:cs="Arial"/>
        </w:rPr>
        <w:t>.</w:t>
      </w:r>
    </w:p>
    <w:p w14:paraId="043D1EEC" w14:textId="3A094856" w:rsidR="00D07816" w:rsidRDefault="00D07816" w:rsidP="00D07816">
      <w:pPr>
        <w:jc w:val="both"/>
        <w:rPr>
          <w:rFonts w:ascii="Calibri" w:hAnsi="Calibri" w:cs="Calibri"/>
        </w:rPr>
      </w:pPr>
      <w:r>
        <w:rPr>
          <w:rFonts w:ascii="Calibri" w:hAnsi="Calibri" w:cs="Calibri"/>
        </w:rPr>
        <w:t>Temporis, together with the portfolio companies it manages, is committed to complying with all national laws and regulations in the jurisdictions in which it operates and will seek to follow ESG best practice (seeking specialist third party advice where necessary) in the areas below</w:t>
      </w:r>
      <w:r w:rsidR="00DB71A5">
        <w:rPr>
          <w:rFonts w:ascii="Calibri" w:hAnsi="Calibri" w:cs="Calibri"/>
        </w:rPr>
        <w:t>:-</w:t>
      </w:r>
      <w:r>
        <w:rPr>
          <w:rFonts w:ascii="Calibri" w:hAnsi="Calibri" w:cs="Calibri"/>
        </w:rPr>
        <w:t xml:space="preserve"> </w:t>
      </w:r>
    </w:p>
    <w:p w14:paraId="37D7FEB4" w14:textId="77777777" w:rsidR="00D07816" w:rsidRPr="005A56D6" w:rsidRDefault="00D07816" w:rsidP="00DB71A5">
      <w:pPr>
        <w:pStyle w:val="Heading2"/>
        <w:numPr>
          <w:ilvl w:val="0"/>
          <w:numId w:val="0"/>
        </w:numPr>
        <w:ind w:left="576" w:hanging="576"/>
        <w:rPr>
          <w:rFonts w:ascii="Calibri" w:hAnsi="Calibri" w:cs="Calibri"/>
          <w:color w:val="auto"/>
          <w:sz w:val="22"/>
          <w:szCs w:val="22"/>
          <w:u w:val="single"/>
        </w:rPr>
      </w:pPr>
      <w:r w:rsidRPr="005A56D6">
        <w:rPr>
          <w:rFonts w:ascii="Calibri" w:hAnsi="Calibri" w:cs="Calibri"/>
          <w:color w:val="auto"/>
          <w:sz w:val="22"/>
          <w:szCs w:val="22"/>
          <w:u w:val="single"/>
        </w:rPr>
        <w:t xml:space="preserve">Environmental Standards </w:t>
      </w:r>
    </w:p>
    <w:p w14:paraId="7453175B" w14:textId="77777777" w:rsidR="00D07816" w:rsidRDefault="00D07816" w:rsidP="00D07816">
      <w:pPr>
        <w:jc w:val="both"/>
        <w:rPr>
          <w:rFonts w:ascii="Calibri" w:hAnsi="Calibri" w:cs="Calibri"/>
          <w:szCs w:val="24"/>
        </w:rPr>
      </w:pPr>
      <w:r>
        <w:rPr>
          <w:rFonts w:ascii="Calibri" w:hAnsi="Calibri" w:cs="Calibri"/>
        </w:rPr>
        <w:t xml:space="preserve">Temporis will comply with all applicable laws relating to the environment, climate change and planning as administered by environmental and health protection agencies, local authorities, energy regulators and other relevant regulatory bodies. It will also take appropriate steps to avoid or mitigate the environmental impacts on areas such as biodiversity, ecology, air quality, noise, waste management and archaeology, as applicable to the particular asset. </w:t>
      </w:r>
    </w:p>
    <w:p w14:paraId="32B3E157" w14:textId="77777777" w:rsidR="00D07816" w:rsidRDefault="00D07816" w:rsidP="00D07816">
      <w:pPr>
        <w:jc w:val="both"/>
        <w:rPr>
          <w:rFonts w:ascii="Arial" w:hAnsi="Arial" w:cs="Times New Roman"/>
        </w:rPr>
      </w:pPr>
      <w:r>
        <w:rPr>
          <w:rFonts w:ascii="Calibri" w:hAnsi="Calibri" w:cs="Calibri"/>
        </w:rPr>
        <w:t>Temporis will also seek to ensure contractors and operators apply appropriate industry standards and will ensure that data provided to energy and other regulators complies with relevant quality assurance standards.</w:t>
      </w:r>
      <w:r>
        <w:t xml:space="preserve"> </w:t>
      </w:r>
    </w:p>
    <w:p w14:paraId="39D89402" w14:textId="77777777" w:rsidR="00D07816" w:rsidRPr="005A56D6" w:rsidRDefault="00D07816" w:rsidP="005A56D6">
      <w:pPr>
        <w:pStyle w:val="Heading2"/>
        <w:numPr>
          <w:ilvl w:val="0"/>
          <w:numId w:val="0"/>
        </w:numPr>
        <w:ind w:left="576" w:hanging="576"/>
        <w:rPr>
          <w:rFonts w:ascii="Calibri" w:hAnsi="Calibri" w:cs="Calibri"/>
          <w:color w:val="auto"/>
          <w:sz w:val="22"/>
          <w:szCs w:val="22"/>
          <w:u w:val="single"/>
        </w:rPr>
      </w:pPr>
      <w:r w:rsidRPr="005A56D6">
        <w:rPr>
          <w:rFonts w:ascii="Calibri" w:hAnsi="Calibri" w:cs="Calibri"/>
          <w:color w:val="auto"/>
          <w:sz w:val="22"/>
          <w:szCs w:val="22"/>
          <w:u w:val="single"/>
        </w:rPr>
        <w:t xml:space="preserve">Social Standards </w:t>
      </w:r>
    </w:p>
    <w:p w14:paraId="44B2DC8E" w14:textId="77777777" w:rsidR="00D07816" w:rsidRDefault="00D07816" w:rsidP="00D07816">
      <w:pPr>
        <w:jc w:val="both"/>
        <w:rPr>
          <w:rFonts w:ascii="Calibri" w:hAnsi="Calibri" w:cs="Calibri"/>
          <w:szCs w:val="24"/>
        </w:rPr>
      </w:pPr>
      <w:r>
        <w:rPr>
          <w:rFonts w:ascii="Calibri" w:hAnsi="Calibri" w:cs="Calibri"/>
        </w:rPr>
        <w:t>Temporis will adhere to all applicable laws relating to employment, health &amp; safety, human rights, and public safety. It will engage with local communities, ensuring that land and access rights are properly observed, and assets are managed in accordance with planning laws and permissions.</w:t>
      </w:r>
    </w:p>
    <w:p w14:paraId="1CC40689" w14:textId="77777777" w:rsidR="00D07816" w:rsidRPr="005A56D6" w:rsidRDefault="00D07816" w:rsidP="005A56D6">
      <w:pPr>
        <w:pStyle w:val="Heading2"/>
        <w:numPr>
          <w:ilvl w:val="0"/>
          <w:numId w:val="0"/>
        </w:numPr>
        <w:ind w:left="576" w:hanging="576"/>
        <w:rPr>
          <w:rFonts w:ascii="Calibri" w:hAnsi="Calibri" w:cs="Calibri"/>
          <w:color w:val="auto"/>
          <w:sz w:val="22"/>
          <w:szCs w:val="22"/>
          <w:u w:val="single"/>
        </w:rPr>
      </w:pPr>
      <w:r w:rsidRPr="005A56D6">
        <w:rPr>
          <w:rFonts w:ascii="Calibri" w:hAnsi="Calibri" w:cs="Calibri"/>
          <w:color w:val="auto"/>
          <w:sz w:val="22"/>
          <w:szCs w:val="22"/>
          <w:u w:val="single"/>
        </w:rPr>
        <w:t xml:space="preserve">Governance Standards </w:t>
      </w:r>
    </w:p>
    <w:p w14:paraId="273B6C2B" w14:textId="77777777" w:rsidR="00D07816" w:rsidRDefault="00D07816" w:rsidP="00D07816">
      <w:pPr>
        <w:jc w:val="both"/>
        <w:rPr>
          <w:rFonts w:ascii="Calibri" w:hAnsi="Calibri" w:cs="Calibri"/>
        </w:rPr>
      </w:pPr>
      <w:r>
        <w:rPr>
          <w:rFonts w:ascii="Calibri" w:hAnsi="Calibri" w:cs="Calibri"/>
        </w:rPr>
        <w:t>Temporis will seek to ensure that its corporate governance arrangements comply with mandatory statutory standards and operate in accordance with the regulatory body with jurisdiction over the relevant business / asset.  It will also operate in accordance with internal policies relating to anti-financial crime and conflicts of interest.</w:t>
      </w:r>
    </w:p>
    <w:p w14:paraId="2DB18284" w14:textId="197AE16A" w:rsidR="00D07816" w:rsidRDefault="00D07816" w:rsidP="00D07816">
      <w:pPr>
        <w:jc w:val="both"/>
        <w:rPr>
          <w:rFonts w:ascii="Calibri" w:hAnsi="Calibri" w:cs="Calibri"/>
        </w:rPr>
      </w:pPr>
      <w:r>
        <w:rPr>
          <w:rFonts w:ascii="Calibri" w:hAnsi="Calibri" w:cs="Calibri"/>
        </w:rPr>
        <w:t xml:space="preserve">Temporis has also ensured that its remuneration policy and organisational structures are consistent with </w:t>
      </w:r>
      <w:r w:rsidR="00C96004">
        <w:rPr>
          <w:rFonts w:ascii="Calibri" w:hAnsi="Calibri" w:cs="Calibri"/>
        </w:rPr>
        <w:t xml:space="preserve">its </w:t>
      </w:r>
      <w:r>
        <w:rPr>
          <w:rFonts w:ascii="Calibri" w:hAnsi="Calibri" w:cs="Calibri"/>
        </w:rPr>
        <w:t xml:space="preserve">ESG Policy. </w:t>
      </w:r>
    </w:p>
    <w:p w14:paraId="02B85146" w14:textId="453EB22A" w:rsidR="003B57BD" w:rsidRDefault="00D07767" w:rsidP="003B57BD">
      <w:pPr>
        <w:spacing w:after="0" w:line="240" w:lineRule="auto"/>
        <w:jc w:val="both"/>
        <w:rPr>
          <w:rFonts w:ascii="Calibri" w:hAnsi="Calibri" w:cs="Calibri"/>
        </w:rPr>
      </w:pPr>
      <w:r w:rsidRPr="00A5370E">
        <w:rPr>
          <w:rFonts w:ascii="Calibri" w:hAnsi="Calibri" w:cs="Calibri"/>
        </w:rPr>
        <w:t>As referred to in section 2 above, Temporis will ordinarily a</w:t>
      </w:r>
      <w:r w:rsidR="0011726D" w:rsidRPr="00A5370E">
        <w:rPr>
          <w:rFonts w:ascii="Calibri" w:hAnsi="Calibri" w:cs="Calibri"/>
        </w:rPr>
        <w:t xml:space="preserve">ssume one or more Board appointments in the portfolio companies established to hold the physical assets of the </w:t>
      </w:r>
      <w:r w:rsidR="00F670DD" w:rsidRPr="00A5370E">
        <w:rPr>
          <w:rFonts w:ascii="Calibri" w:hAnsi="Calibri" w:cs="Calibri"/>
        </w:rPr>
        <w:t xml:space="preserve">fund.  </w:t>
      </w:r>
      <w:r w:rsidR="003B57BD" w:rsidRPr="00A5370E">
        <w:rPr>
          <w:rFonts w:ascii="Calibri" w:hAnsi="Calibri" w:cs="Calibri"/>
        </w:rPr>
        <w:t xml:space="preserve">Board representation enables Temporis to play a direct and active role in overseeing </w:t>
      </w:r>
      <w:r w:rsidR="00C83D57" w:rsidRPr="00A5370E">
        <w:rPr>
          <w:rFonts w:ascii="Calibri" w:hAnsi="Calibri" w:cs="Calibri"/>
        </w:rPr>
        <w:t xml:space="preserve">relevant </w:t>
      </w:r>
      <w:r w:rsidR="003B57BD" w:rsidRPr="00A5370E">
        <w:rPr>
          <w:rFonts w:ascii="Calibri" w:hAnsi="Calibri" w:cs="Calibri"/>
        </w:rPr>
        <w:t>governance matters</w:t>
      </w:r>
      <w:r w:rsidR="006E40EF" w:rsidRPr="00A5370E">
        <w:rPr>
          <w:rFonts w:ascii="Calibri" w:hAnsi="Calibri" w:cs="Calibri"/>
        </w:rPr>
        <w:t xml:space="preserve">, ensuring that </w:t>
      </w:r>
      <w:r w:rsidR="003B57BD" w:rsidRPr="00A5370E">
        <w:rPr>
          <w:rFonts w:ascii="Calibri" w:hAnsi="Calibri" w:cs="Calibri"/>
        </w:rPr>
        <w:t xml:space="preserve">ESG issues are considered in the context of corporate strategy, operational performance, and </w:t>
      </w:r>
      <w:r w:rsidR="003B57BD" w:rsidRPr="00A5370E">
        <w:rPr>
          <w:rFonts w:ascii="Calibri" w:hAnsi="Calibri" w:cs="Calibri"/>
        </w:rPr>
        <w:lastRenderedPageBreak/>
        <w:t xml:space="preserve">broader stakeholder relationships. </w:t>
      </w:r>
      <w:r w:rsidR="00071426" w:rsidRPr="00A5370E">
        <w:rPr>
          <w:rFonts w:ascii="Calibri" w:hAnsi="Calibri" w:cs="Calibri"/>
        </w:rPr>
        <w:t xml:space="preserve"> </w:t>
      </w:r>
      <w:r w:rsidR="00A208C0" w:rsidRPr="00A5370E">
        <w:rPr>
          <w:rFonts w:ascii="Calibri" w:hAnsi="Calibri" w:cs="Calibri"/>
        </w:rPr>
        <w:t xml:space="preserve">Typically, the portfolio companies </w:t>
      </w:r>
      <w:r w:rsidR="00306580" w:rsidRPr="00A5370E">
        <w:rPr>
          <w:rFonts w:ascii="Calibri" w:hAnsi="Calibri" w:cs="Calibri"/>
        </w:rPr>
        <w:t xml:space="preserve">will </w:t>
      </w:r>
      <w:r w:rsidR="00A208C0" w:rsidRPr="00A5370E">
        <w:rPr>
          <w:rFonts w:ascii="Calibri" w:hAnsi="Calibri" w:cs="Calibri"/>
        </w:rPr>
        <w:t xml:space="preserve">not have any employees, but where </w:t>
      </w:r>
      <w:r w:rsidR="00C244FB" w:rsidRPr="00A5370E">
        <w:rPr>
          <w:rFonts w:ascii="Calibri" w:hAnsi="Calibri" w:cs="Calibri"/>
        </w:rPr>
        <w:t>relevant</w:t>
      </w:r>
      <w:r w:rsidR="00F53833" w:rsidRPr="00A5370E">
        <w:rPr>
          <w:rFonts w:ascii="Calibri" w:hAnsi="Calibri" w:cs="Calibri"/>
        </w:rPr>
        <w:t xml:space="preserve">, Temporis will also oversee </w:t>
      </w:r>
      <w:r w:rsidR="00797F2A" w:rsidRPr="00A5370E">
        <w:rPr>
          <w:rFonts w:ascii="Calibri" w:hAnsi="Calibri" w:cs="Calibri"/>
        </w:rPr>
        <w:t xml:space="preserve">the specific provisions of the SFDR </w:t>
      </w:r>
      <w:r w:rsidR="00052DF1" w:rsidRPr="00A5370E">
        <w:rPr>
          <w:rFonts w:ascii="Calibri" w:hAnsi="Calibri" w:cs="Calibri"/>
        </w:rPr>
        <w:t xml:space="preserve">guidance such as employee relations, remuneration and </w:t>
      </w:r>
      <w:r w:rsidR="00124D17" w:rsidRPr="00A5370E">
        <w:rPr>
          <w:rFonts w:ascii="Calibri" w:hAnsi="Calibri" w:cs="Calibri"/>
        </w:rPr>
        <w:t>tax compliance</w:t>
      </w:r>
      <w:r w:rsidR="00CA3A38" w:rsidRPr="00A5370E">
        <w:rPr>
          <w:rFonts w:ascii="Calibri" w:hAnsi="Calibri" w:cs="Calibri"/>
        </w:rPr>
        <w:t>.</w:t>
      </w:r>
    </w:p>
    <w:p w14:paraId="0DFED43B" w14:textId="04209415" w:rsidR="003B57BD" w:rsidRDefault="003B57BD" w:rsidP="00302B81">
      <w:pPr>
        <w:pStyle w:val="ListParagraph"/>
        <w:jc w:val="both"/>
      </w:pPr>
    </w:p>
    <w:p w14:paraId="78A2321A" w14:textId="7DF4BDFE" w:rsidR="000A61C8" w:rsidRDefault="00635CA5" w:rsidP="000A61C8">
      <w:pPr>
        <w:pStyle w:val="NoSpacing"/>
        <w:numPr>
          <w:ilvl w:val="0"/>
          <w:numId w:val="4"/>
        </w:numPr>
        <w:rPr>
          <w:b/>
          <w:bCs/>
        </w:rPr>
      </w:pPr>
      <w:r>
        <w:rPr>
          <w:b/>
          <w:bCs/>
        </w:rPr>
        <w:t>Monitoring of Sustainabl</w:t>
      </w:r>
      <w:r w:rsidR="006B2988">
        <w:rPr>
          <w:b/>
          <w:bCs/>
        </w:rPr>
        <w:t xml:space="preserve">e Investment </w:t>
      </w:r>
      <w:r>
        <w:rPr>
          <w:b/>
          <w:bCs/>
        </w:rPr>
        <w:t>Objective</w:t>
      </w:r>
    </w:p>
    <w:p w14:paraId="5EB082F3" w14:textId="44D228CD" w:rsidR="00635CA5" w:rsidRDefault="00635CA5" w:rsidP="00635CA5">
      <w:pPr>
        <w:pStyle w:val="ListParagraph"/>
        <w:rPr>
          <w:b/>
          <w:bCs/>
        </w:rPr>
      </w:pPr>
    </w:p>
    <w:p w14:paraId="4D7411B2" w14:textId="59DC98E3" w:rsidR="003D2439" w:rsidRPr="005C7E03" w:rsidRDefault="00273960" w:rsidP="005C7E03">
      <w:pPr>
        <w:pStyle w:val="ListParagraph"/>
        <w:ind w:left="0"/>
        <w:jc w:val="both"/>
      </w:pPr>
      <w:r w:rsidRPr="0047323F">
        <w:t xml:space="preserve">The sustainability objective of mitigating climate change is monitored </w:t>
      </w:r>
      <w:r w:rsidR="00B86617" w:rsidRPr="0047323F">
        <w:t xml:space="preserve">by way of obtaining </w:t>
      </w:r>
      <w:r w:rsidR="000F6681" w:rsidRPr="0047323F">
        <w:t xml:space="preserve">and reviewing </w:t>
      </w:r>
      <w:r w:rsidR="006A5F5E" w:rsidRPr="0047323F">
        <w:t xml:space="preserve">performance data on the clean energy generated for </w:t>
      </w:r>
      <w:r w:rsidR="00013443" w:rsidRPr="0047323F">
        <w:t xml:space="preserve">each asset individually and across the </w:t>
      </w:r>
      <w:r w:rsidR="00093E3A" w:rsidRPr="0047323F">
        <w:t xml:space="preserve">fund </w:t>
      </w:r>
      <w:r w:rsidR="00013443" w:rsidRPr="0047323F">
        <w:t xml:space="preserve">portfolio, together with figures on </w:t>
      </w:r>
      <w:r w:rsidR="00CF1016" w:rsidRPr="0047323F">
        <w:t>cumulative CO2 emission</w:t>
      </w:r>
      <w:r w:rsidR="005C7E03" w:rsidRPr="0047323F">
        <w:t>s</w:t>
      </w:r>
      <w:r w:rsidR="00CF1016" w:rsidRPr="0047323F">
        <w:t xml:space="preserve"> savings</w:t>
      </w:r>
      <w:r w:rsidR="005C7E03" w:rsidRPr="0047323F">
        <w:t>, expressed both in tonnage and as an annual equivalent of homes powered.</w:t>
      </w:r>
      <w:r w:rsidR="005C7E03" w:rsidRPr="005C7E03">
        <w:t xml:space="preserve"> </w:t>
      </w:r>
    </w:p>
    <w:p w14:paraId="54DAFAE0" w14:textId="77777777" w:rsidR="00956314" w:rsidRPr="00956314" w:rsidRDefault="00956314" w:rsidP="00956314">
      <w:pPr>
        <w:spacing w:after="0" w:line="240" w:lineRule="auto"/>
        <w:jc w:val="both"/>
        <w:rPr>
          <w:b/>
          <w:bCs/>
        </w:rPr>
      </w:pPr>
    </w:p>
    <w:p w14:paraId="29EE3800" w14:textId="4CE324CB" w:rsidR="00956314" w:rsidRDefault="00635CA5" w:rsidP="00635CA5">
      <w:pPr>
        <w:pStyle w:val="ListParagraph"/>
        <w:numPr>
          <w:ilvl w:val="0"/>
          <w:numId w:val="4"/>
        </w:numPr>
        <w:rPr>
          <w:b/>
          <w:bCs/>
        </w:rPr>
      </w:pPr>
      <w:r>
        <w:rPr>
          <w:b/>
          <w:bCs/>
        </w:rPr>
        <w:t xml:space="preserve">Methodologies for Measuring Attainment of Sustainable Investment Objective </w:t>
      </w:r>
    </w:p>
    <w:p w14:paraId="41076BA5" w14:textId="4A0CE91D" w:rsidR="00A44095" w:rsidRPr="00F666A9" w:rsidRDefault="00A44095" w:rsidP="00F666A9">
      <w:pPr>
        <w:jc w:val="both"/>
      </w:pPr>
      <w:r w:rsidRPr="0047323F">
        <w:t xml:space="preserve">The </w:t>
      </w:r>
      <w:r w:rsidR="00810A25" w:rsidRPr="0047323F">
        <w:t xml:space="preserve">sustainability </w:t>
      </w:r>
      <w:r w:rsidR="00B01435" w:rsidRPr="0047323F">
        <w:t xml:space="preserve">performance metrics referred to </w:t>
      </w:r>
      <w:r w:rsidR="00F666A9" w:rsidRPr="0047323F">
        <w:t xml:space="preserve">in section </w:t>
      </w:r>
      <w:r w:rsidR="00107124">
        <w:t>8</w:t>
      </w:r>
      <w:r w:rsidR="00F666A9" w:rsidRPr="0047323F">
        <w:t xml:space="preserve"> </w:t>
      </w:r>
      <w:r w:rsidR="00B01435" w:rsidRPr="0047323F">
        <w:t xml:space="preserve">above </w:t>
      </w:r>
      <w:r w:rsidR="00FC5082" w:rsidRPr="0047323F">
        <w:t>are disclosed to clients prior to investment</w:t>
      </w:r>
      <w:r w:rsidR="009922E3" w:rsidRPr="0047323F">
        <w:t xml:space="preserve">.  </w:t>
      </w:r>
      <w:r w:rsidR="00F666A9" w:rsidRPr="0047323F">
        <w:t>Sustainability p</w:t>
      </w:r>
      <w:r w:rsidR="009922E3" w:rsidRPr="0047323F">
        <w:t xml:space="preserve">erformance </w:t>
      </w:r>
      <w:r w:rsidR="00810A25" w:rsidRPr="0047323F">
        <w:t xml:space="preserve">is reported to </w:t>
      </w:r>
      <w:r w:rsidR="00F666A9" w:rsidRPr="0047323F">
        <w:t xml:space="preserve">fund investors on a quarterly basis. </w:t>
      </w:r>
      <w:r w:rsidR="009922E3" w:rsidRPr="0047323F">
        <w:t xml:space="preserve"> </w:t>
      </w:r>
      <w:r w:rsidR="009922E3" w:rsidRPr="00F666A9">
        <w:t xml:space="preserve"> </w:t>
      </w:r>
    </w:p>
    <w:p w14:paraId="50C9091B" w14:textId="54A0F3D6" w:rsidR="00635CA5" w:rsidRDefault="00635CA5" w:rsidP="00635CA5">
      <w:pPr>
        <w:pStyle w:val="ListParagraph"/>
        <w:numPr>
          <w:ilvl w:val="0"/>
          <w:numId w:val="4"/>
        </w:numPr>
        <w:rPr>
          <w:b/>
          <w:bCs/>
        </w:rPr>
      </w:pPr>
      <w:r>
        <w:rPr>
          <w:b/>
          <w:bCs/>
        </w:rPr>
        <w:t xml:space="preserve">Investment Due Diligence </w:t>
      </w:r>
    </w:p>
    <w:p w14:paraId="7E5EDF68" w14:textId="3E8F1084" w:rsidR="0066005F" w:rsidRDefault="00F56D2D" w:rsidP="0047323F">
      <w:pPr>
        <w:jc w:val="both"/>
      </w:pPr>
      <w:r>
        <w:t xml:space="preserve">Temporis’ sustainability due diligence policy is contained </w:t>
      </w:r>
      <w:r w:rsidR="0066005F">
        <w:t xml:space="preserve">as an appendix to </w:t>
      </w:r>
      <w:r w:rsidR="003D2AD2">
        <w:t xml:space="preserve">its </w:t>
      </w:r>
      <w:r w:rsidR="00C92B74">
        <w:t>ESG Investment Policy</w:t>
      </w:r>
      <w:r w:rsidR="003D2AD2">
        <w:t xml:space="preserve">. </w:t>
      </w:r>
      <w:r w:rsidR="00C92B74">
        <w:t xml:space="preserve"> </w:t>
      </w:r>
      <w:r w:rsidR="00AD66FC">
        <w:t xml:space="preserve">Examples of the </w:t>
      </w:r>
      <w:r w:rsidR="001177CD">
        <w:t>“</w:t>
      </w:r>
      <w:r w:rsidR="00AD66FC">
        <w:t>green impacts</w:t>
      </w:r>
      <w:r w:rsidR="0017121E">
        <w:t>”</w:t>
      </w:r>
      <w:r w:rsidR="00AD66FC">
        <w:t xml:space="preserve"> considered during investment due diligence are set out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1"/>
      </w:tblGrid>
      <w:tr w:rsidR="0017121E" w:rsidRPr="00D216BC" w14:paraId="5893DAFC" w14:textId="77777777" w:rsidTr="0017121E">
        <w:tc>
          <w:tcPr>
            <w:tcW w:w="4115" w:type="dxa"/>
            <w:shd w:val="clear" w:color="auto" w:fill="00B050"/>
          </w:tcPr>
          <w:p w14:paraId="7E4CFCD0" w14:textId="55E95929" w:rsidR="0017121E" w:rsidRPr="005F6498" w:rsidRDefault="0017121E" w:rsidP="00E21364">
            <w:pPr>
              <w:spacing w:after="0" w:line="240" w:lineRule="auto"/>
              <w:jc w:val="both"/>
              <w:rPr>
                <w:rFonts w:ascii="Calibri" w:hAnsi="Calibri" w:cs="Calibri"/>
                <w:b/>
                <w:bCs/>
              </w:rPr>
            </w:pPr>
            <w:r w:rsidRPr="005F6498">
              <w:rPr>
                <w:rFonts w:ascii="Calibri" w:hAnsi="Calibri" w:cs="Calibri"/>
                <w:b/>
                <w:bCs/>
              </w:rPr>
              <w:t xml:space="preserve">Green </w:t>
            </w:r>
            <w:r w:rsidR="001E059F">
              <w:rPr>
                <w:rFonts w:ascii="Calibri" w:hAnsi="Calibri" w:cs="Calibri"/>
                <w:b/>
                <w:bCs/>
              </w:rPr>
              <w:t>Criteria</w:t>
            </w:r>
            <w:r w:rsidRPr="005F6498">
              <w:rPr>
                <w:rFonts w:ascii="Calibri" w:hAnsi="Calibri" w:cs="Calibri"/>
                <w:b/>
                <w:bCs/>
              </w:rPr>
              <w:t xml:space="preserve">   </w:t>
            </w:r>
          </w:p>
        </w:tc>
        <w:tc>
          <w:tcPr>
            <w:tcW w:w="4901" w:type="dxa"/>
            <w:shd w:val="clear" w:color="auto" w:fill="00B050"/>
          </w:tcPr>
          <w:p w14:paraId="6A8BAFE5" w14:textId="77777777" w:rsidR="0017121E" w:rsidRPr="005F6498" w:rsidRDefault="0017121E" w:rsidP="00E21364">
            <w:pPr>
              <w:spacing w:after="0" w:line="240" w:lineRule="auto"/>
              <w:jc w:val="both"/>
              <w:rPr>
                <w:rFonts w:ascii="Calibri" w:hAnsi="Calibri" w:cs="Calibri"/>
                <w:b/>
                <w:bCs/>
              </w:rPr>
            </w:pPr>
            <w:r w:rsidRPr="005F6498">
              <w:rPr>
                <w:rFonts w:ascii="Calibri" w:hAnsi="Calibri" w:cs="Calibri"/>
                <w:b/>
                <w:bCs/>
              </w:rPr>
              <w:t xml:space="preserve">Green Impact Evaluation </w:t>
            </w:r>
          </w:p>
          <w:p w14:paraId="0BE7D99C" w14:textId="77777777" w:rsidR="0017121E" w:rsidRPr="005F6498" w:rsidRDefault="0017121E" w:rsidP="00E21364">
            <w:pPr>
              <w:spacing w:after="0" w:line="240" w:lineRule="auto"/>
              <w:jc w:val="both"/>
              <w:rPr>
                <w:rFonts w:ascii="Calibri" w:hAnsi="Calibri" w:cs="Calibri"/>
                <w:b/>
                <w:bCs/>
              </w:rPr>
            </w:pPr>
          </w:p>
        </w:tc>
      </w:tr>
      <w:tr w:rsidR="0017121E" w:rsidRPr="00D216BC" w14:paraId="27D74FDE" w14:textId="77777777" w:rsidTr="0017121E">
        <w:tc>
          <w:tcPr>
            <w:tcW w:w="4115" w:type="dxa"/>
            <w:shd w:val="clear" w:color="auto" w:fill="auto"/>
          </w:tcPr>
          <w:p w14:paraId="3B44E0EB" w14:textId="77777777" w:rsidR="0017121E" w:rsidRPr="00D82A10" w:rsidRDefault="0017121E" w:rsidP="00E21364">
            <w:pPr>
              <w:spacing w:after="0" w:line="240" w:lineRule="auto"/>
              <w:jc w:val="both"/>
              <w:rPr>
                <w:rFonts w:ascii="Calibri" w:hAnsi="Calibri" w:cs="Calibri"/>
              </w:rPr>
            </w:pPr>
            <w:r w:rsidRPr="00D82A10">
              <w:rPr>
                <w:rFonts w:ascii="Calibri" w:hAnsi="Calibri" w:cs="Calibri"/>
              </w:rPr>
              <w:t>Reduction of Greenhouse emissions</w:t>
            </w:r>
          </w:p>
          <w:p w14:paraId="5C757C5F" w14:textId="77777777" w:rsidR="0017121E" w:rsidRPr="00D82A10" w:rsidRDefault="0017121E" w:rsidP="00E21364">
            <w:pPr>
              <w:spacing w:after="0" w:line="240" w:lineRule="auto"/>
              <w:jc w:val="both"/>
              <w:rPr>
                <w:rFonts w:ascii="Calibri" w:hAnsi="Calibri" w:cs="Calibri"/>
              </w:rPr>
            </w:pPr>
          </w:p>
          <w:p w14:paraId="22314306" w14:textId="77777777" w:rsidR="0017121E" w:rsidRPr="00D82A10" w:rsidRDefault="0017121E" w:rsidP="00E21364">
            <w:pPr>
              <w:spacing w:after="0" w:line="240" w:lineRule="auto"/>
              <w:jc w:val="both"/>
              <w:rPr>
                <w:rFonts w:ascii="Calibri" w:hAnsi="Calibri" w:cs="Calibri"/>
              </w:rPr>
            </w:pPr>
          </w:p>
        </w:tc>
        <w:tc>
          <w:tcPr>
            <w:tcW w:w="4901" w:type="dxa"/>
            <w:shd w:val="clear" w:color="auto" w:fill="auto"/>
          </w:tcPr>
          <w:p w14:paraId="56E4EFFB" w14:textId="77777777" w:rsidR="0017121E" w:rsidRPr="00D216BC" w:rsidRDefault="0017121E" w:rsidP="00E21364">
            <w:pPr>
              <w:spacing w:after="0" w:line="240" w:lineRule="auto"/>
              <w:jc w:val="both"/>
              <w:rPr>
                <w:rFonts w:ascii="Calibri" w:hAnsi="Calibri" w:cs="Calibri"/>
                <w:highlight w:val="yellow"/>
              </w:rPr>
            </w:pPr>
            <w:r w:rsidRPr="00D82A10">
              <w:rPr>
                <w:rFonts w:ascii="Calibri" w:hAnsi="Calibri" w:cs="Calibri"/>
              </w:rPr>
              <w:t>A positive contribution to resource sustainability, including (where appropriate) GHG savings</w:t>
            </w:r>
            <w:r>
              <w:rPr>
                <w:rFonts w:ascii="Calibri" w:hAnsi="Calibri" w:cs="Calibri"/>
              </w:rPr>
              <w:t xml:space="preserve">. </w:t>
            </w:r>
          </w:p>
        </w:tc>
      </w:tr>
      <w:tr w:rsidR="0017121E" w:rsidRPr="00D216BC" w14:paraId="1B68CD89" w14:textId="77777777" w:rsidTr="0017121E">
        <w:tc>
          <w:tcPr>
            <w:tcW w:w="4115" w:type="dxa"/>
            <w:shd w:val="clear" w:color="auto" w:fill="auto"/>
          </w:tcPr>
          <w:p w14:paraId="0A1FCFC5" w14:textId="77777777" w:rsidR="0017121E" w:rsidRPr="00D82A10" w:rsidRDefault="0017121E" w:rsidP="00E21364">
            <w:pPr>
              <w:spacing w:after="0" w:line="240" w:lineRule="auto"/>
              <w:jc w:val="both"/>
              <w:rPr>
                <w:rFonts w:ascii="Calibri" w:hAnsi="Calibri" w:cs="Calibri"/>
              </w:rPr>
            </w:pPr>
            <w:r w:rsidRPr="00D82A10">
              <w:rPr>
                <w:rFonts w:ascii="Calibri" w:hAnsi="Calibri" w:cs="Calibri"/>
              </w:rPr>
              <w:t>Advancement of efficiency in the use of natural resources</w:t>
            </w:r>
          </w:p>
        </w:tc>
        <w:tc>
          <w:tcPr>
            <w:tcW w:w="4901" w:type="dxa"/>
            <w:shd w:val="clear" w:color="auto" w:fill="auto"/>
          </w:tcPr>
          <w:p w14:paraId="01725D10" w14:textId="00473071" w:rsidR="0017121E" w:rsidRPr="00D216BC" w:rsidRDefault="0017121E" w:rsidP="00E21364">
            <w:pPr>
              <w:spacing w:after="0" w:line="240" w:lineRule="auto"/>
              <w:jc w:val="both"/>
              <w:rPr>
                <w:rFonts w:ascii="Calibri" w:hAnsi="Calibri" w:cs="Calibri"/>
                <w:highlight w:val="yellow"/>
              </w:rPr>
            </w:pPr>
            <w:r w:rsidRPr="00D82A10">
              <w:rPr>
                <w:rFonts w:ascii="Calibri" w:hAnsi="Calibri" w:cs="Calibri"/>
              </w:rPr>
              <w:t>A positive contribution to renewable energy generation, active engagement to make renewable energy more efficient</w:t>
            </w:r>
            <w:r w:rsidR="0033794E">
              <w:rPr>
                <w:rFonts w:ascii="Calibri" w:hAnsi="Calibri" w:cs="Calibri"/>
              </w:rPr>
              <w:t>.</w:t>
            </w:r>
          </w:p>
        </w:tc>
      </w:tr>
      <w:tr w:rsidR="0017121E" w:rsidRPr="00D216BC" w14:paraId="2DD31A9A" w14:textId="77777777" w:rsidTr="0017121E">
        <w:tc>
          <w:tcPr>
            <w:tcW w:w="4115" w:type="dxa"/>
            <w:shd w:val="clear" w:color="auto" w:fill="auto"/>
          </w:tcPr>
          <w:p w14:paraId="1EA1C662" w14:textId="77777777" w:rsidR="0017121E" w:rsidRPr="00D82A10" w:rsidRDefault="0017121E" w:rsidP="00E21364">
            <w:pPr>
              <w:spacing w:after="0" w:line="240" w:lineRule="auto"/>
              <w:jc w:val="both"/>
              <w:rPr>
                <w:rFonts w:ascii="Calibri" w:hAnsi="Calibri" w:cs="Calibri"/>
              </w:rPr>
            </w:pPr>
            <w:r w:rsidRPr="00D82A10">
              <w:rPr>
                <w:rFonts w:ascii="Calibri" w:hAnsi="Calibri" w:cs="Calibri"/>
              </w:rPr>
              <w:t>Protection or enhancement of the natural environment</w:t>
            </w:r>
          </w:p>
          <w:p w14:paraId="3F4452C3" w14:textId="77777777" w:rsidR="0017121E" w:rsidRPr="00D82A10" w:rsidRDefault="0017121E" w:rsidP="00E21364">
            <w:pPr>
              <w:spacing w:after="0" w:line="240" w:lineRule="auto"/>
              <w:jc w:val="both"/>
              <w:rPr>
                <w:rFonts w:ascii="Calibri" w:hAnsi="Calibri" w:cs="Calibri"/>
              </w:rPr>
            </w:pPr>
          </w:p>
        </w:tc>
        <w:tc>
          <w:tcPr>
            <w:tcW w:w="4901" w:type="dxa"/>
            <w:shd w:val="clear" w:color="auto" w:fill="auto"/>
          </w:tcPr>
          <w:p w14:paraId="3B27EB07" w14:textId="77777777" w:rsidR="0017121E" w:rsidRDefault="0017121E" w:rsidP="00E21364">
            <w:pPr>
              <w:spacing w:after="0" w:line="240" w:lineRule="auto"/>
              <w:jc w:val="both"/>
              <w:rPr>
                <w:rFonts w:ascii="Calibri" w:hAnsi="Calibri" w:cs="Calibri"/>
              </w:rPr>
            </w:pPr>
            <w:r w:rsidRPr="00D82A10">
              <w:rPr>
                <w:rFonts w:ascii="Calibri" w:hAnsi="Calibri" w:cs="Calibri"/>
              </w:rPr>
              <w:t>The presence of improvements to or the avoidance or satisfactory mitigation of any adverse impacts on the natural environment, including but not limited to:</w:t>
            </w:r>
          </w:p>
          <w:p w14:paraId="05704829" w14:textId="77777777" w:rsidR="0017121E" w:rsidRPr="00D82A10" w:rsidRDefault="0017121E" w:rsidP="00E21364">
            <w:pPr>
              <w:spacing w:after="0" w:line="240" w:lineRule="auto"/>
              <w:jc w:val="both"/>
              <w:rPr>
                <w:rFonts w:ascii="Calibri" w:hAnsi="Calibri" w:cs="Calibri"/>
              </w:rPr>
            </w:pPr>
          </w:p>
          <w:p w14:paraId="3F8CED7D" w14:textId="77777777" w:rsidR="0017121E" w:rsidRDefault="0017121E" w:rsidP="0017121E">
            <w:pPr>
              <w:numPr>
                <w:ilvl w:val="0"/>
                <w:numId w:val="8"/>
              </w:numPr>
              <w:spacing w:after="0" w:line="240" w:lineRule="auto"/>
              <w:jc w:val="both"/>
              <w:rPr>
                <w:rFonts w:ascii="Calibri" w:hAnsi="Calibri" w:cs="Calibri"/>
              </w:rPr>
            </w:pPr>
            <w:r>
              <w:rPr>
                <w:rFonts w:ascii="Calibri" w:hAnsi="Calibri" w:cs="Calibri"/>
              </w:rPr>
              <w:t>a</w:t>
            </w:r>
            <w:r w:rsidRPr="00D82A10">
              <w:rPr>
                <w:rFonts w:ascii="Calibri" w:hAnsi="Calibri" w:cs="Calibri"/>
              </w:rPr>
              <w:t>dverse impact on visual amenity of the landscape, together with any other applicable loss of amenity (e.g. fishing);</w:t>
            </w:r>
          </w:p>
          <w:p w14:paraId="1C7FAEC7" w14:textId="77777777" w:rsidR="0017121E" w:rsidRPr="00D82A10" w:rsidRDefault="0017121E" w:rsidP="00E21364">
            <w:pPr>
              <w:spacing w:after="0" w:line="240" w:lineRule="auto"/>
              <w:jc w:val="both"/>
              <w:rPr>
                <w:rFonts w:ascii="Calibri" w:hAnsi="Calibri" w:cs="Calibri"/>
              </w:rPr>
            </w:pPr>
          </w:p>
          <w:p w14:paraId="6960BE04" w14:textId="77777777" w:rsidR="0017121E" w:rsidRDefault="0017121E" w:rsidP="0017121E">
            <w:pPr>
              <w:numPr>
                <w:ilvl w:val="0"/>
                <w:numId w:val="8"/>
              </w:numPr>
              <w:spacing w:after="0" w:line="240" w:lineRule="auto"/>
              <w:jc w:val="both"/>
              <w:rPr>
                <w:rFonts w:ascii="Calibri" w:hAnsi="Calibri" w:cs="Calibri"/>
              </w:rPr>
            </w:pPr>
            <w:r>
              <w:rPr>
                <w:rFonts w:ascii="Calibri" w:hAnsi="Calibri" w:cs="Calibri"/>
              </w:rPr>
              <w:t>n</w:t>
            </w:r>
            <w:r w:rsidRPr="00D82A10">
              <w:rPr>
                <w:rFonts w:ascii="Calibri" w:hAnsi="Calibri" w:cs="Calibri"/>
              </w:rPr>
              <w:t>oise pollution affecting populated areas together with any other loss of amenity; and</w:t>
            </w:r>
          </w:p>
          <w:p w14:paraId="3F66825C" w14:textId="77777777" w:rsidR="0017121E" w:rsidRDefault="0017121E" w:rsidP="00E21364">
            <w:pPr>
              <w:pStyle w:val="ListParagraph"/>
              <w:rPr>
                <w:rFonts w:ascii="Calibri" w:hAnsi="Calibri" w:cs="Calibri"/>
              </w:rPr>
            </w:pPr>
          </w:p>
          <w:p w14:paraId="5AA3D445" w14:textId="77777777" w:rsidR="0017121E" w:rsidRPr="00D82A10" w:rsidRDefault="0017121E" w:rsidP="0017121E">
            <w:pPr>
              <w:numPr>
                <w:ilvl w:val="0"/>
                <w:numId w:val="8"/>
              </w:numPr>
              <w:spacing w:after="0" w:line="240" w:lineRule="auto"/>
              <w:jc w:val="both"/>
              <w:rPr>
                <w:rFonts w:ascii="Calibri" w:hAnsi="Calibri" w:cs="Calibri"/>
              </w:rPr>
            </w:pPr>
            <w:r>
              <w:rPr>
                <w:rFonts w:ascii="Calibri" w:hAnsi="Calibri" w:cs="Calibri"/>
              </w:rPr>
              <w:t>d</w:t>
            </w:r>
            <w:r w:rsidRPr="00D82A10">
              <w:rPr>
                <w:rFonts w:ascii="Calibri" w:hAnsi="Calibri" w:cs="Calibri"/>
              </w:rPr>
              <w:t>isturbance and long-term damage to the quality of the land or water environment, including adverse impact on the local surface water, ground water or soil environment, impacts to water flow or quality, including those arising direct</w:t>
            </w:r>
            <w:r>
              <w:rPr>
                <w:rFonts w:ascii="Calibri" w:hAnsi="Calibri" w:cs="Calibri"/>
              </w:rPr>
              <w:t>ly</w:t>
            </w:r>
            <w:r w:rsidRPr="00D82A10">
              <w:rPr>
                <w:rFonts w:ascii="Calibri" w:hAnsi="Calibri" w:cs="Calibri"/>
              </w:rPr>
              <w:t xml:space="preserve"> or indirectly from </w:t>
            </w:r>
            <w:r>
              <w:rPr>
                <w:rFonts w:ascii="Calibri" w:hAnsi="Calibri" w:cs="Calibri"/>
              </w:rPr>
              <w:t xml:space="preserve">hazardous waste and other forms of </w:t>
            </w:r>
            <w:r w:rsidRPr="00D82A10">
              <w:rPr>
                <w:rFonts w:ascii="Calibri" w:hAnsi="Calibri" w:cs="Calibri"/>
              </w:rPr>
              <w:t>pollution.</w:t>
            </w:r>
          </w:p>
          <w:p w14:paraId="5A133488" w14:textId="77777777" w:rsidR="0017121E" w:rsidRPr="00D216BC" w:rsidRDefault="0017121E" w:rsidP="00E21364">
            <w:pPr>
              <w:spacing w:after="0" w:line="240" w:lineRule="auto"/>
              <w:jc w:val="both"/>
              <w:rPr>
                <w:rFonts w:ascii="Calibri" w:hAnsi="Calibri" w:cs="Calibri"/>
                <w:highlight w:val="yellow"/>
              </w:rPr>
            </w:pPr>
          </w:p>
        </w:tc>
      </w:tr>
      <w:tr w:rsidR="0017121E" w:rsidRPr="00D216BC" w14:paraId="077B78F7" w14:textId="77777777" w:rsidTr="0017121E">
        <w:tc>
          <w:tcPr>
            <w:tcW w:w="4115" w:type="dxa"/>
            <w:shd w:val="clear" w:color="auto" w:fill="auto"/>
          </w:tcPr>
          <w:p w14:paraId="16B04D94" w14:textId="77777777" w:rsidR="0017121E" w:rsidRPr="00D82A10" w:rsidRDefault="0017121E" w:rsidP="00E21364">
            <w:pPr>
              <w:spacing w:after="0" w:line="240" w:lineRule="auto"/>
              <w:jc w:val="both"/>
              <w:rPr>
                <w:rFonts w:ascii="Calibri" w:hAnsi="Calibri" w:cs="Calibri"/>
              </w:rPr>
            </w:pPr>
            <w:r w:rsidRPr="00D82A10">
              <w:rPr>
                <w:rFonts w:ascii="Calibri" w:hAnsi="Calibri" w:cs="Calibri"/>
              </w:rPr>
              <w:lastRenderedPageBreak/>
              <w:t xml:space="preserve">Protection or enhancement of </w:t>
            </w:r>
            <w:r>
              <w:rPr>
                <w:rFonts w:ascii="Calibri" w:hAnsi="Calibri" w:cs="Calibri"/>
              </w:rPr>
              <w:t>biodiversity</w:t>
            </w:r>
          </w:p>
          <w:p w14:paraId="049CF31F" w14:textId="77777777" w:rsidR="0017121E" w:rsidRPr="00D82A10" w:rsidRDefault="0017121E" w:rsidP="00E21364">
            <w:pPr>
              <w:jc w:val="both"/>
              <w:rPr>
                <w:rFonts w:ascii="Calibri" w:hAnsi="Calibri" w:cs="Calibri"/>
              </w:rPr>
            </w:pPr>
          </w:p>
        </w:tc>
        <w:tc>
          <w:tcPr>
            <w:tcW w:w="4901" w:type="dxa"/>
            <w:shd w:val="clear" w:color="auto" w:fill="auto"/>
          </w:tcPr>
          <w:p w14:paraId="1427A343" w14:textId="77777777" w:rsidR="0017121E" w:rsidRDefault="0017121E" w:rsidP="00E21364">
            <w:pPr>
              <w:spacing w:after="0" w:line="240" w:lineRule="auto"/>
              <w:jc w:val="both"/>
              <w:rPr>
                <w:rFonts w:ascii="Calibri" w:hAnsi="Calibri" w:cs="Calibri"/>
              </w:rPr>
            </w:pPr>
            <w:r w:rsidRPr="00D82A10">
              <w:rPr>
                <w:rFonts w:ascii="Calibri" w:hAnsi="Calibri" w:cs="Calibri"/>
              </w:rPr>
              <w:t>The presence of improvements to, or the avoidance or satisfactory mitigation of any adverse impacts on biodiversity, including but not limited to:</w:t>
            </w:r>
          </w:p>
          <w:p w14:paraId="4FAF0141" w14:textId="77777777" w:rsidR="0017121E" w:rsidRPr="00D82A10" w:rsidRDefault="0017121E" w:rsidP="00E21364">
            <w:pPr>
              <w:spacing w:after="0" w:line="240" w:lineRule="auto"/>
              <w:jc w:val="both"/>
              <w:rPr>
                <w:rFonts w:ascii="Calibri" w:hAnsi="Calibri" w:cs="Calibri"/>
              </w:rPr>
            </w:pPr>
          </w:p>
          <w:p w14:paraId="07CFF222" w14:textId="77777777" w:rsidR="0017121E" w:rsidRDefault="0017121E" w:rsidP="0017121E">
            <w:pPr>
              <w:numPr>
                <w:ilvl w:val="0"/>
                <w:numId w:val="9"/>
              </w:numPr>
              <w:spacing w:after="0" w:line="240" w:lineRule="auto"/>
              <w:jc w:val="both"/>
              <w:rPr>
                <w:rFonts w:ascii="Calibri" w:hAnsi="Calibri" w:cs="Calibri"/>
              </w:rPr>
            </w:pPr>
            <w:r>
              <w:rPr>
                <w:rFonts w:ascii="Calibri" w:hAnsi="Calibri" w:cs="Calibri"/>
              </w:rPr>
              <w:t>i</w:t>
            </w:r>
            <w:r w:rsidRPr="00D82A10">
              <w:rPr>
                <w:rFonts w:ascii="Calibri" w:hAnsi="Calibri" w:cs="Calibri"/>
              </w:rPr>
              <w:t xml:space="preserve">mpact on biodiversity resulting from the construction or operation of the plant and associated infrastructure, including where relevant the impact on </w:t>
            </w:r>
            <w:r>
              <w:rPr>
                <w:rFonts w:ascii="Calibri" w:hAnsi="Calibri" w:cs="Calibri"/>
              </w:rPr>
              <w:t>natural species, including air</w:t>
            </w:r>
            <w:r w:rsidRPr="00D82A10">
              <w:rPr>
                <w:rFonts w:ascii="Calibri" w:hAnsi="Calibri" w:cs="Calibri"/>
              </w:rPr>
              <w:t xml:space="preserve"> borne and water borne life; and</w:t>
            </w:r>
          </w:p>
          <w:p w14:paraId="4F88BBD2" w14:textId="77777777" w:rsidR="0017121E" w:rsidRPr="00D82A10" w:rsidRDefault="0017121E" w:rsidP="00E21364">
            <w:pPr>
              <w:spacing w:after="0" w:line="240" w:lineRule="auto"/>
              <w:jc w:val="both"/>
              <w:rPr>
                <w:rFonts w:ascii="Calibri" w:hAnsi="Calibri" w:cs="Calibri"/>
              </w:rPr>
            </w:pPr>
          </w:p>
          <w:p w14:paraId="4B9A4D57" w14:textId="77777777" w:rsidR="0017121E" w:rsidRPr="007958CA" w:rsidRDefault="0017121E" w:rsidP="0017121E">
            <w:pPr>
              <w:numPr>
                <w:ilvl w:val="0"/>
                <w:numId w:val="9"/>
              </w:numPr>
              <w:spacing w:after="0" w:line="240" w:lineRule="auto"/>
              <w:jc w:val="both"/>
              <w:rPr>
                <w:rFonts w:ascii="Calibri" w:hAnsi="Calibri" w:cs="Calibri"/>
              </w:rPr>
            </w:pPr>
            <w:r>
              <w:rPr>
                <w:rFonts w:ascii="Calibri" w:hAnsi="Calibri" w:cs="Calibri"/>
              </w:rPr>
              <w:t>a</w:t>
            </w:r>
            <w:r w:rsidRPr="007958CA">
              <w:rPr>
                <w:rFonts w:ascii="Calibri" w:hAnsi="Calibri" w:cs="Calibri"/>
              </w:rPr>
              <w:t>ny other effect which demonstrably reduces net loss and improves net gain to biodiversity arising from the project.</w:t>
            </w:r>
          </w:p>
          <w:p w14:paraId="7995EB94" w14:textId="77777777" w:rsidR="0017121E" w:rsidRPr="00D216BC" w:rsidRDefault="0017121E" w:rsidP="00E21364">
            <w:pPr>
              <w:spacing w:after="0" w:line="240" w:lineRule="auto"/>
              <w:jc w:val="both"/>
              <w:rPr>
                <w:rFonts w:ascii="Calibri" w:hAnsi="Calibri" w:cs="Calibri"/>
                <w:highlight w:val="yellow"/>
              </w:rPr>
            </w:pPr>
          </w:p>
        </w:tc>
      </w:tr>
      <w:tr w:rsidR="0017121E" w:rsidRPr="00D216BC" w14:paraId="13F569BF" w14:textId="77777777" w:rsidTr="0017121E">
        <w:tc>
          <w:tcPr>
            <w:tcW w:w="4115" w:type="dxa"/>
            <w:shd w:val="clear" w:color="auto" w:fill="auto"/>
          </w:tcPr>
          <w:p w14:paraId="26DC5A4C" w14:textId="77777777" w:rsidR="0017121E" w:rsidRPr="00D82A10" w:rsidRDefault="0017121E" w:rsidP="00E21364">
            <w:pPr>
              <w:spacing w:after="0" w:line="240" w:lineRule="auto"/>
              <w:jc w:val="both"/>
              <w:rPr>
                <w:rFonts w:ascii="Calibri" w:hAnsi="Calibri" w:cs="Calibri"/>
              </w:rPr>
            </w:pPr>
            <w:r w:rsidRPr="00D82A10">
              <w:rPr>
                <w:rFonts w:ascii="Calibri" w:hAnsi="Calibri" w:cs="Calibri"/>
              </w:rPr>
              <w:t>Protection of environmental sustainability</w:t>
            </w:r>
          </w:p>
          <w:p w14:paraId="6E80E2C8" w14:textId="77777777" w:rsidR="0017121E" w:rsidRPr="00D82A10" w:rsidRDefault="0017121E" w:rsidP="00E21364">
            <w:pPr>
              <w:jc w:val="both"/>
              <w:rPr>
                <w:rFonts w:ascii="Calibri" w:hAnsi="Calibri" w:cs="Calibri"/>
              </w:rPr>
            </w:pPr>
          </w:p>
        </w:tc>
        <w:tc>
          <w:tcPr>
            <w:tcW w:w="4901" w:type="dxa"/>
            <w:shd w:val="clear" w:color="auto" w:fill="auto"/>
          </w:tcPr>
          <w:p w14:paraId="6189164E" w14:textId="77777777" w:rsidR="0017121E" w:rsidRPr="007958CA" w:rsidRDefault="0017121E" w:rsidP="00E21364">
            <w:pPr>
              <w:spacing w:after="0" w:line="240" w:lineRule="auto"/>
              <w:jc w:val="both"/>
              <w:rPr>
                <w:rFonts w:ascii="Calibri" w:hAnsi="Calibri" w:cs="Calibri"/>
              </w:rPr>
            </w:pPr>
            <w:r w:rsidRPr="007958CA">
              <w:rPr>
                <w:rFonts w:ascii="Calibri" w:hAnsi="Calibri" w:cs="Calibri"/>
              </w:rPr>
              <w:t>The presence of:</w:t>
            </w:r>
          </w:p>
          <w:p w14:paraId="63298DB8" w14:textId="77777777" w:rsidR="0017121E" w:rsidRPr="007958CA" w:rsidRDefault="0017121E" w:rsidP="00E21364">
            <w:pPr>
              <w:spacing w:after="0" w:line="240" w:lineRule="auto"/>
              <w:jc w:val="both"/>
              <w:rPr>
                <w:rFonts w:ascii="Calibri" w:hAnsi="Calibri" w:cs="Calibri"/>
              </w:rPr>
            </w:pPr>
          </w:p>
          <w:p w14:paraId="4C2EAE73" w14:textId="77777777" w:rsidR="0017121E" w:rsidRDefault="0017121E" w:rsidP="0017121E">
            <w:pPr>
              <w:numPr>
                <w:ilvl w:val="0"/>
                <w:numId w:val="10"/>
              </w:numPr>
              <w:spacing w:after="0" w:line="240" w:lineRule="auto"/>
              <w:jc w:val="both"/>
              <w:rPr>
                <w:rFonts w:ascii="Calibri" w:hAnsi="Calibri" w:cs="Calibri"/>
              </w:rPr>
            </w:pPr>
            <w:r w:rsidRPr="007958CA">
              <w:rPr>
                <w:rFonts w:ascii="Calibri" w:hAnsi="Calibri" w:cs="Calibri"/>
              </w:rPr>
              <w:t>a commitment to continual improvement in environmental performance by applying prevailing good industry practice; and</w:t>
            </w:r>
          </w:p>
          <w:p w14:paraId="35E74D1E" w14:textId="77777777" w:rsidR="0017121E" w:rsidRDefault="0017121E" w:rsidP="00E21364">
            <w:pPr>
              <w:spacing w:after="0" w:line="240" w:lineRule="auto"/>
              <w:ind w:left="360"/>
              <w:jc w:val="both"/>
              <w:rPr>
                <w:rFonts w:ascii="Calibri" w:hAnsi="Calibri" w:cs="Calibri"/>
              </w:rPr>
            </w:pPr>
          </w:p>
          <w:p w14:paraId="05863B7D" w14:textId="77777777" w:rsidR="0017121E" w:rsidRPr="00E770C7" w:rsidRDefault="0017121E" w:rsidP="0017121E">
            <w:pPr>
              <w:pStyle w:val="NormalWeb"/>
              <w:numPr>
                <w:ilvl w:val="0"/>
                <w:numId w:val="10"/>
              </w:numPr>
              <w:jc w:val="both"/>
              <w:rPr>
                <w:rFonts w:ascii="Calibri" w:hAnsi="Calibri" w:cs="Calibri"/>
                <w:szCs w:val="22"/>
              </w:rPr>
            </w:pPr>
            <w:r w:rsidRPr="00E770C7">
              <w:rPr>
                <w:rFonts w:ascii="Calibri" w:hAnsi="Calibri" w:cs="Calibri"/>
                <w:color w:val="auto"/>
                <w:sz w:val="22"/>
                <w:szCs w:val="22"/>
              </w:rPr>
              <w:t>additional benefits which may contribute to the transition to a green economy beyond the investment, including the potential for the future life-extension of the green infrastructure.</w:t>
            </w:r>
          </w:p>
          <w:p w14:paraId="09A4D7BF" w14:textId="77777777" w:rsidR="0017121E" w:rsidRPr="00D216BC" w:rsidRDefault="0017121E" w:rsidP="00E21364">
            <w:pPr>
              <w:spacing w:after="0" w:line="240" w:lineRule="auto"/>
              <w:ind w:left="720"/>
              <w:jc w:val="both"/>
              <w:rPr>
                <w:rFonts w:ascii="Calibri" w:hAnsi="Calibri" w:cs="Calibri"/>
                <w:highlight w:val="yellow"/>
              </w:rPr>
            </w:pPr>
          </w:p>
        </w:tc>
      </w:tr>
    </w:tbl>
    <w:p w14:paraId="45364370" w14:textId="77777777" w:rsidR="0017121E" w:rsidRDefault="0017121E" w:rsidP="0017121E">
      <w:pPr>
        <w:pStyle w:val="NormalWeb"/>
        <w:jc w:val="both"/>
        <w:rPr>
          <w:rFonts w:ascii="Calibri" w:hAnsi="Calibri" w:cs="Calibri"/>
          <w:b/>
          <w:bCs/>
          <w:color w:val="000000"/>
          <w:sz w:val="22"/>
          <w:szCs w:val="22"/>
        </w:rPr>
      </w:pPr>
    </w:p>
    <w:p w14:paraId="67D8B44B" w14:textId="6FBEA84D" w:rsidR="0017121E" w:rsidRDefault="0017121E" w:rsidP="0017121E">
      <w:pPr>
        <w:jc w:val="both"/>
        <w:rPr>
          <w:rFonts w:ascii="Calibri" w:hAnsi="Calibri" w:cs="Calibri"/>
        </w:rPr>
      </w:pPr>
      <w:r>
        <w:rPr>
          <w:rFonts w:ascii="Calibri" w:hAnsi="Calibri" w:cs="Calibri"/>
        </w:rPr>
        <w:t xml:space="preserve">Following the satisfactory completion of due diligence, an Investment Committee meeting </w:t>
      </w:r>
      <w:r w:rsidR="00E236C0">
        <w:rPr>
          <w:rFonts w:ascii="Calibri" w:hAnsi="Calibri" w:cs="Calibri"/>
        </w:rPr>
        <w:t xml:space="preserve">of the </w:t>
      </w:r>
      <w:r w:rsidR="0033794E">
        <w:rPr>
          <w:rFonts w:ascii="Calibri" w:hAnsi="Calibri" w:cs="Calibri"/>
        </w:rPr>
        <w:t>F</w:t>
      </w:r>
      <w:r w:rsidR="00E236C0">
        <w:rPr>
          <w:rFonts w:ascii="Calibri" w:hAnsi="Calibri" w:cs="Calibri"/>
        </w:rPr>
        <w:t xml:space="preserve">und </w:t>
      </w:r>
      <w:r>
        <w:rPr>
          <w:rFonts w:ascii="Calibri" w:hAnsi="Calibri" w:cs="Calibri"/>
        </w:rPr>
        <w:t>will be held to discuss the findings of due diligence and to determine whether to proceed with the acquisition and on what terms.</w:t>
      </w:r>
    </w:p>
    <w:p w14:paraId="77C6A440" w14:textId="1215F4B6" w:rsidR="00AB5349" w:rsidRDefault="0017121E" w:rsidP="003B4C6B">
      <w:pPr>
        <w:jc w:val="both"/>
        <w:rPr>
          <w:rFonts w:ascii="Calibri" w:hAnsi="Calibri" w:cs="Calibri"/>
        </w:rPr>
      </w:pPr>
      <w:r>
        <w:rPr>
          <w:rFonts w:ascii="Calibri" w:hAnsi="Calibri" w:cs="Calibri"/>
        </w:rPr>
        <w:t>Once Investment Committee approval has been obtained, the investment will proceed towards f</w:t>
      </w:r>
      <w:r w:rsidRPr="003C14FF">
        <w:rPr>
          <w:rFonts w:ascii="Calibri" w:hAnsi="Calibri" w:cs="Calibri"/>
        </w:rPr>
        <w:t>inancial</w:t>
      </w:r>
      <w:r>
        <w:rPr>
          <w:rFonts w:ascii="Calibri" w:hAnsi="Calibri" w:cs="Calibri"/>
        </w:rPr>
        <w:t xml:space="preserve"> c</w:t>
      </w:r>
      <w:r w:rsidRPr="003C14FF">
        <w:rPr>
          <w:rFonts w:ascii="Calibri" w:hAnsi="Calibri" w:cs="Calibri"/>
        </w:rPr>
        <w:t>lose</w:t>
      </w:r>
      <w:r>
        <w:rPr>
          <w:rFonts w:ascii="Calibri" w:hAnsi="Calibri" w:cs="Calibri"/>
        </w:rPr>
        <w:t xml:space="preserve">, with the Investment </w:t>
      </w:r>
      <w:r w:rsidRPr="003C14FF">
        <w:rPr>
          <w:rFonts w:ascii="Calibri" w:hAnsi="Calibri" w:cs="Calibri"/>
        </w:rPr>
        <w:t xml:space="preserve">team </w:t>
      </w:r>
      <w:r>
        <w:rPr>
          <w:rFonts w:ascii="Calibri" w:hAnsi="Calibri" w:cs="Calibri"/>
        </w:rPr>
        <w:t xml:space="preserve">responsible for </w:t>
      </w:r>
      <w:r w:rsidRPr="003C14FF">
        <w:rPr>
          <w:rFonts w:ascii="Calibri" w:hAnsi="Calibri" w:cs="Calibri"/>
        </w:rPr>
        <w:t>ensur</w:t>
      </w:r>
      <w:r>
        <w:rPr>
          <w:rFonts w:ascii="Calibri" w:hAnsi="Calibri" w:cs="Calibri"/>
        </w:rPr>
        <w:t xml:space="preserve">ing </w:t>
      </w:r>
      <w:r w:rsidRPr="003C14FF">
        <w:rPr>
          <w:rFonts w:ascii="Calibri" w:hAnsi="Calibri" w:cs="Calibri"/>
        </w:rPr>
        <w:t xml:space="preserve">that ESG criteria is considered in the drafting of deal documentation, particularly </w:t>
      </w:r>
      <w:r>
        <w:rPr>
          <w:rFonts w:ascii="Calibri" w:hAnsi="Calibri" w:cs="Calibri"/>
        </w:rPr>
        <w:t xml:space="preserve">with respect to the </w:t>
      </w:r>
      <w:r w:rsidRPr="003C14FF">
        <w:rPr>
          <w:rFonts w:ascii="Calibri" w:hAnsi="Calibri" w:cs="Calibri"/>
        </w:rPr>
        <w:t xml:space="preserve">incorporation of representations, covenants and </w:t>
      </w:r>
      <w:r>
        <w:rPr>
          <w:rFonts w:ascii="Calibri" w:hAnsi="Calibri" w:cs="Calibri"/>
        </w:rPr>
        <w:t xml:space="preserve">default </w:t>
      </w:r>
      <w:r w:rsidRPr="003C14FF">
        <w:rPr>
          <w:rFonts w:ascii="Calibri" w:hAnsi="Calibri" w:cs="Calibri"/>
        </w:rPr>
        <w:t>events into financing documentation</w:t>
      </w:r>
      <w:r>
        <w:rPr>
          <w:rFonts w:ascii="Calibri" w:hAnsi="Calibri" w:cs="Calibri"/>
        </w:rPr>
        <w:t xml:space="preserve">.  Specialist external legal support will assist in the drafting process. </w:t>
      </w:r>
    </w:p>
    <w:p w14:paraId="5638674B" w14:textId="7ED3645B" w:rsidR="00043EEF" w:rsidRPr="00A5370E" w:rsidRDefault="00043EEF" w:rsidP="00043EEF">
      <w:pPr>
        <w:pStyle w:val="ListParagraph"/>
        <w:numPr>
          <w:ilvl w:val="0"/>
          <w:numId w:val="4"/>
        </w:numPr>
        <w:rPr>
          <w:b/>
          <w:bCs/>
        </w:rPr>
      </w:pPr>
      <w:r w:rsidRPr="00A5370E">
        <w:rPr>
          <w:b/>
          <w:bCs/>
        </w:rPr>
        <w:t xml:space="preserve">Minimum </w:t>
      </w:r>
      <w:r w:rsidR="002C29B6" w:rsidRPr="00A5370E">
        <w:rPr>
          <w:b/>
          <w:bCs/>
        </w:rPr>
        <w:t xml:space="preserve">social </w:t>
      </w:r>
      <w:r w:rsidRPr="00A5370E">
        <w:rPr>
          <w:b/>
          <w:bCs/>
        </w:rPr>
        <w:t>safeguards</w:t>
      </w:r>
    </w:p>
    <w:p w14:paraId="537ACE4B" w14:textId="694AAAA3" w:rsidR="00043EEF" w:rsidRPr="00A5370E" w:rsidRDefault="00043EEF" w:rsidP="00043EEF">
      <w:pPr>
        <w:pStyle w:val="NoSpacing"/>
        <w:jc w:val="both"/>
        <w:rPr>
          <w:bCs/>
        </w:rPr>
      </w:pPr>
      <w:r w:rsidRPr="00A5370E">
        <w:rPr>
          <w:bCs/>
        </w:rPr>
        <w:t xml:space="preserve">The Taxonomy Regulation requires Temporis to ensure that an activity that qualifies as environmentally sustainable under the Taxonomy Regulation is carried out in compliance with minimum safeguards </w:t>
      </w:r>
      <w:r w:rsidR="002C29B6" w:rsidRPr="00A5370E">
        <w:rPr>
          <w:bCs/>
        </w:rPr>
        <w:t>aligned with the OECD Guidelines for Multinational Enterprises and the UN Guiding Principles on Business and Human Rights.  The OECD guidelines for multinational enterprises bring together various areas of business responsibility, including human rights and labour rights, as well as information disclosure, environment, bribery, consumer interests, science and technology, competition, and taxation.  The UN Guiding Principles on Business and Human Rights are a global standard for preventing human rights violations, and addressing any potential risk, resulting from economic activities.</w:t>
      </w:r>
    </w:p>
    <w:p w14:paraId="612F2927" w14:textId="77777777" w:rsidR="002C29B6" w:rsidRPr="00A5370E" w:rsidRDefault="002C29B6" w:rsidP="00043EEF">
      <w:pPr>
        <w:pStyle w:val="NoSpacing"/>
        <w:jc w:val="both"/>
        <w:rPr>
          <w:bCs/>
        </w:rPr>
      </w:pPr>
    </w:p>
    <w:p w14:paraId="31828FCB" w14:textId="4D32629E" w:rsidR="00043EEF" w:rsidRDefault="00CA3A38" w:rsidP="00CA3A38">
      <w:pPr>
        <w:pStyle w:val="NoSpacing"/>
        <w:jc w:val="both"/>
        <w:rPr>
          <w:rFonts w:ascii="Calibri" w:hAnsi="Calibri" w:cs="Calibri"/>
        </w:rPr>
      </w:pPr>
      <w:r w:rsidRPr="00A5370E">
        <w:rPr>
          <w:bCs/>
        </w:rPr>
        <w:t xml:space="preserve">As described above, </w:t>
      </w:r>
      <w:r w:rsidR="00836A08" w:rsidRPr="00A5370E">
        <w:rPr>
          <w:rFonts w:ascii="Calibri" w:hAnsi="Calibri" w:cs="Calibri"/>
        </w:rPr>
        <w:t xml:space="preserve">Temporis will adhere to all applicable laws relating to employment, health </w:t>
      </w:r>
      <w:r w:rsidR="00642593" w:rsidRPr="00A5370E">
        <w:rPr>
          <w:rFonts w:ascii="Calibri" w:hAnsi="Calibri" w:cs="Calibri"/>
        </w:rPr>
        <w:t>and</w:t>
      </w:r>
      <w:r w:rsidR="00836A08" w:rsidRPr="00A5370E">
        <w:rPr>
          <w:rFonts w:ascii="Calibri" w:hAnsi="Calibri" w:cs="Calibri"/>
        </w:rPr>
        <w:t xml:space="preserve"> safety, human rights, and public safety. </w:t>
      </w:r>
      <w:r w:rsidRPr="00A5370E">
        <w:rPr>
          <w:rFonts w:ascii="Calibri" w:hAnsi="Calibri" w:cs="Calibri"/>
        </w:rPr>
        <w:t xml:space="preserve"> </w:t>
      </w:r>
      <w:r w:rsidR="00836A08" w:rsidRPr="00A5370E">
        <w:rPr>
          <w:rFonts w:ascii="Calibri" w:hAnsi="Calibri" w:cs="Calibri"/>
        </w:rPr>
        <w:t>It will engage with local communities, ensuring that land and access rights are properly observed, and assets are managed in accordance with planning laws and permissions.</w:t>
      </w:r>
      <w:r w:rsidRPr="00A5370E">
        <w:rPr>
          <w:rFonts w:ascii="Calibri" w:hAnsi="Calibri" w:cs="Calibri"/>
        </w:rPr>
        <w:t xml:space="preserve">  </w:t>
      </w:r>
      <w:r w:rsidR="00836A08" w:rsidRPr="00A5370E">
        <w:rPr>
          <w:rFonts w:ascii="Calibri" w:hAnsi="Calibri" w:cs="Calibri"/>
        </w:rPr>
        <w:t xml:space="preserve">Temporis will </w:t>
      </w:r>
      <w:r w:rsidRPr="00A5370E">
        <w:rPr>
          <w:rFonts w:ascii="Calibri" w:hAnsi="Calibri" w:cs="Calibri"/>
        </w:rPr>
        <w:t xml:space="preserve">also </w:t>
      </w:r>
      <w:r w:rsidR="00836A08" w:rsidRPr="00A5370E">
        <w:rPr>
          <w:rFonts w:ascii="Calibri" w:hAnsi="Calibri" w:cs="Calibri"/>
        </w:rPr>
        <w:t xml:space="preserve">seek to ensure that its corporate governance arrangements comply </w:t>
      </w:r>
      <w:r w:rsidR="00836A08" w:rsidRPr="00A5370E">
        <w:rPr>
          <w:rFonts w:ascii="Calibri" w:hAnsi="Calibri" w:cs="Calibri"/>
        </w:rPr>
        <w:lastRenderedPageBreak/>
        <w:t>with mandatory statutory standards and operate in accordance with the regulatory body with jurisdiction over the relevant business / asset.  It will also operate in accordance with internal policies relating to anti-financial crime and conflicts of interest.</w:t>
      </w:r>
    </w:p>
    <w:p w14:paraId="7DC0E900" w14:textId="77777777" w:rsidR="00CA3A38" w:rsidRDefault="00CA3A38" w:rsidP="00CA3A38">
      <w:pPr>
        <w:pStyle w:val="NoSpacing"/>
        <w:jc w:val="both"/>
        <w:rPr>
          <w:rFonts w:ascii="Calibri" w:hAnsi="Calibri" w:cs="Calibri"/>
        </w:rPr>
      </w:pPr>
    </w:p>
    <w:p w14:paraId="2F782820" w14:textId="77777777" w:rsidR="00635CA5" w:rsidRDefault="00635CA5" w:rsidP="00635CA5">
      <w:pPr>
        <w:pStyle w:val="ListParagraph"/>
        <w:numPr>
          <w:ilvl w:val="0"/>
          <w:numId w:val="4"/>
        </w:numPr>
        <w:rPr>
          <w:b/>
          <w:bCs/>
        </w:rPr>
      </w:pPr>
      <w:r>
        <w:rPr>
          <w:b/>
          <w:bCs/>
        </w:rPr>
        <w:t>Engagement Policies</w:t>
      </w:r>
    </w:p>
    <w:p w14:paraId="7CBFB2FE" w14:textId="68A85B70" w:rsidR="0056427D" w:rsidRDefault="00163654" w:rsidP="0056427D">
      <w:pPr>
        <w:jc w:val="both"/>
        <w:rPr>
          <w:rFonts w:ascii="Calibri" w:hAnsi="Calibri" w:cs="Calibri"/>
        </w:rPr>
      </w:pPr>
      <w:r>
        <w:rPr>
          <w:rFonts w:ascii="Calibri" w:hAnsi="Calibri" w:cs="Calibri"/>
        </w:rPr>
        <w:t xml:space="preserve">Engagement in relation to the renewable assets </w:t>
      </w:r>
      <w:r w:rsidR="00D81F1B">
        <w:rPr>
          <w:rFonts w:ascii="Calibri" w:hAnsi="Calibri" w:cs="Calibri"/>
        </w:rPr>
        <w:t>held by the</w:t>
      </w:r>
      <w:r w:rsidR="0047323F">
        <w:rPr>
          <w:rFonts w:ascii="Calibri" w:hAnsi="Calibri" w:cs="Calibri"/>
        </w:rPr>
        <w:t xml:space="preserve"> F</w:t>
      </w:r>
      <w:r w:rsidR="00D81F1B">
        <w:rPr>
          <w:rFonts w:ascii="Calibri" w:hAnsi="Calibri" w:cs="Calibri"/>
        </w:rPr>
        <w:t xml:space="preserve">und </w:t>
      </w:r>
      <w:r w:rsidR="00163DD2">
        <w:rPr>
          <w:rFonts w:ascii="Calibri" w:hAnsi="Calibri" w:cs="Calibri"/>
        </w:rPr>
        <w:t xml:space="preserve">will </w:t>
      </w:r>
      <w:r w:rsidR="000F43F1">
        <w:rPr>
          <w:rFonts w:ascii="Calibri" w:hAnsi="Calibri" w:cs="Calibri"/>
        </w:rPr>
        <w:t xml:space="preserve">principally </w:t>
      </w:r>
      <w:r w:rsidR="00D81F1B">
        <w:rPr>
          <w:rFonts w:ascii="Calibri" w:hAnsi="Calibri" w:cs="Calibri"/>
        </w:rPr>
        <w:t>t</w:t>
      </w:r>
      <w:r w:rsidR="000F43F1">
        <w:rPr>
          <w:rFonts w:ascii="Calibri" w:hAnsi="Calibri" w:cs="Calibri"/>
        </w:rPr>
        <w:t xml:space="preserve">ake </w:t>
      </w:r>
      <w:r w:rsidR="00D81F1B">
        <w:rPr>
          <w:rFonts w:ascii="Calibri" w:hAnsi="Calibri" w:cs="Calibri"/>
        </w:rPr>
        <w:t>the form of c</w:t>
      </w:r>
      <w:r w:rsidR="0056427D">
        <w:rPr>
          <w:rFonts w:ascii="Calibri" w:hAnsi="Calibri" w:cs="Calibri"/>
        </w:rPr>
        <w:t>ommunity involvement</w:t>
      </w:r>
      <w:r w:rsidR="000F43F1">
        <w:rPr>
          <w:rFonts w:ascii="Calibri" w:hAnsi="Calibri" w:cs="Calibri"/>
        </w:rPr>
        <w:t>.  A</w:t>
      </w:r>
      <w:r w:rsidR="0056427D">
        <w:rPr>
          <w:rFonts w:ascii="Calibri" w:hAnsi="Calibri" w:cs="Calibri"/>
        </w:rPr>
        <w:t>ccordingly</w:t>
      </w:r>
      <w:r w:rsidR="008F632E">
        <w:rPr>
          <w:rFonts w:ascii="Calibri" w:hAnsi="Calibri" w:cs="Calibri"/>
        </w:rPr>
        <w:t>,</w:t>
      </w:r>
      <w:r w:rsidR="0056427D">
        <w:rPr>
          <w:rFonts w:ascii="Calibri" w:hAnsi="Calibri" w:cs="Calibri"/>
        </w:rPr>
        <w:t xml:space="preserve"> Temporis</w:t>
      </w:r>
      <w:r w:rsidR="0056427D" w:rsidRPr="00775FF1">
        <w:rPr>
          <w:rFonts w:ascii="Calibri" w:hAnsi="Calibri" w:cs="Calibri"/>
        </w:rPr>
        <w:t xml:space="preserve"> </w:t>
      </w:r>
      <w:r w:rsidR="00200342">
        <w:rPr>
          <w:rFonts w:ascii="Calibri" w:hAnsi="Calibri" w:cs="Calibri"/>
        </w:rPr>
        <w:t xml:space="preserve">will </w:t>
      </w:r>
      <w:r w:rsidR="0056427D">
        <w:rPr>
          <w:rFonts w:ascii="Calibri" w:hAnsi="Calibri" w:cs="Calibri"/>
        </w:rPr>
        <w:t xml:space="preserve">proactively involve the local community </w:t>
      </w:r>
      <w:r w:rsidR="0056427D" w:rsidRPr="00775FF1">
        <w:rPr>
          <w:rFonts w:ascii="Calibri" w:hAnsi="Calibri" w:cs="Calibri"/>
        </w:rPr>
        <w:t xml:space="preserve">throughout the </w:t>
      </w:r>
      <w:r w:rsidR="00702984">
        <w:rPr>
          <w:rFonts w:ascii="Calibri" w:hAnsi="Calibri" w:cs="Calibri"/>
        </w:rPr>
        <w:t xml:space="preserve">life of the assets </w:t>
      </w:r>
      <w:r w:rsidR="0056427D" w:rsidRPr="00775FF1">
        <w:rPr>
          <w:rFonts w:ascii="Calibri" w:hAnsi="Calibri" w:cs="Calibri"/>
        </w:rPr>
        <w:t>and respond</w:t>
      </w:r>
      <w:r w:rsidR="0056427D">
        <w:rPr>
          <w:rFonts w:ascii="Calibri" w:hAnsi="Calibri" w:cs="Calibri"/>
        </w:rPr>
        <w:t>s</w:t>
      </w:r>
      <w:r w:rsidR="0056427D" w:rsidRPr="00775FF1">
        <w:rPr>
          <w:rFonts w:ascii="Calibri" w:hAnsi="Calibri" w:cs="Calibri"/>
        </w:rPr>
        <w:t xml:space="preserve"> quickly and sympathetically </w:t>
      </w:r>
      <w:r w:rsidR="0056427D">
        <w:rPr>
          <w:rFonts w:ascii="Calibri" w:hAnsi="Calibri" w:cs="Calibri"/>
        </w:rPr>
        <w:t xml:space="preserve">to public </w:t>
      </w:r>
      <w:r w:rsidR="0056427D" w:rsidRPr="00775FF1">
        <w:rPr>
          <w:rFonts w:ascii="Calibri" w:hAnsi="Calibri" w:cs="Calibri"/>
        </w:rPr>
        <w:t xml:space="preserve">enquiries. </w:t>
      </w:r>
    </w:p>
    <w:p w14:paraId="6142AE09" w14:textId="038B5B02" w:rsidR="0056427D" w:rsidRDefault="0056427D" w:rsidP="0056427D">
      <w:pPr>
        <w:jc w:val="both"/>
        <w:rPr>
          <w:rFonts w:ascii="Calibri" w:hAnsi="Calibri" w:cs="Calibri"/>
        </w:rPr>
      </w:pPr>
      <w:r w:rsidRPr="00775FF1">
        <w:rPr>
          <w:rFonts w:ascii="Calibri" w:hAnsi="Calibri" w:cs="Calibri"/>
        </w:rPr>
        <w:t xml:space="preserve">Community benefit schemes, which </w:t>
      </w:r>
      <w:r w:rsidR="00200342">
        <w:rPr>
          <w:rFonts w:ascii="Calibri" w:hAnsi="Calibri" w:cs="Calibri"/>
        </w:rPr>
        <w:t xml:space="preserve">will </w:t>
      </w:r>
      <w:r w:rsidRPr="00775FF1">
        <w:rPr>
          <w:rFonts w:ascii="Calibri" w:hAnsi="Calibri" w:cs="Calibri"/>
        </w:rPr>
        <w:t>vary from site to site, are often a critical part of sharing economic benefit locally by supporting local, community-based schemes</w:t>
      </w:r>
      <w:r>
        <w:rPr>
          <w:rFonts w:ascii="Calibri" w:hAnsi="Calibri" w:cs="Calibri"/>
        </w:rPr>
        <w:t xml:space="preserve">.  </w:t>
      </w:r>
    </w:p>
    <w:p w14:paraId="43100D64" w14:textId="62A387CD" w:rsidR="008055C1" w:rsidRPr="00A5370E" w:rsidRDefault="008055C1" w:rsidP="008055C1">
      <w:pPr>
        <w:pStyle w:val="ListParagraph"/>
        <w:numPr>
          <w:ilvl w:val="0"/>
          <w:numId w:val="4"/>
        </w:numPr>
        <w:rPr>
          <w:b/>
          <w:bCs/>
        </w:rPr>
      </w:pPr>
      <w:r w:rsidRPr="00A5370E">
        <w:rPr>
          <w:b/>
          <w:bCs/>
        </w:rPr>
        <w:t xml:space="preserve">Data Sources </w:t>
      </w:r>
      <w:r w:rsidR="00642593" w:rsidRPr="00A5370E">
        <w:rPr>
          <w:b/>
          <w:bCs/>
        </w:rPr>
        <w:t>and</w:t>
      </w:r>
      <w:r w:rsidRPr="00A5370E">
        <w:rPr>
          <w:b/>
          <w:bCs/>
        </w:rPr>
        <w:t xml:space="preserve"> Processing</w:t>
      </w:r>
      <w:r w:rsidR="00200342" w:rsidRPr="00A5370E">
        <w:rPr>
          <w:b/>
          <w:bCs/>
        </w:rPr>
        <w:t xml:space="preserve">  </w:t>
      </w:r>
    </w:p>
    <w:p w14:paraId="7DB42E92" w14:textId="2AA2AB86" w:rsidR="005201DA" w:rsidRDefault="005201DA" w:rsidP="00195BD4">
      <w:pPr>
        <w:spacing w:before="100" w:beforeAutospacing="1" w:after="120"/>
        <w:jc w:val="both"/>
        <w:rPr>
          <w:rFonts w:cs="Arial"/>
        </w:rPr>
      </w:pPr>
      <w:r w:rsidRPr="00D82D43">
        <w:rPr>
          <w:rFonts w:cs="Arial"/>
        </w:rPr>
        <w:t>The Fund is expected primarily to invest in the development o</w:t>
      </w:r>
      <w:r>
        <w:rPr>
          <w:rFonts w:cs="Arial"/>
        </w:rPr>
        <w:t>f</w:t>
      </w:r>
      <w:r w:rsidRPr="00D82D43">
        <w:rPr>
          <w:rFonts w:cs="Arial"/>
        </w:rPr>
        <w:t xml:space="preserve"> investments of renewable energy projects to construct; it will also seek to operate and to acquire some construction and operating projects. </w:t>
      </w:r>
      <w:r w:rsidR="00330E88">
        <w:rPr>
          <w:rFonts w:cs="Arial"/>
        </w:rPr>
        <w:t xml:space="preserve"> </w:t>
      </w:r>
      <w:r w:rsidR="00FA3B02">
        <w:rPr>
          <w:rFonts w:cs="Arial"/>
        </w:rPr>
        <w:t xml:space="preserve">Co2 emission savings will be achieved for each kWh generated by the investments that are developed, constructed or operated by the Fund.  </w:t>
      </w:r>
    </w:p>
    <w:p w14:paraId="1142EA7A" w14:textId="0CACF2D1" w:rsidR="00271773" w:rsidRDefault="00FA3B02" w:rsidP="00195BD4">
      <w:pPr>
        <w:spacing w:before="100" w:beforeAutospacing="1" w:after="120"/>
        <w:jc w:val="both"/>
        <w:rPr>
          <w:rFonts w:cs="Arial"/>
        </w:rPr>
      </w:pPr>
      <w:r>
        <w:rPr>
          <w:rFonts w:cs="Arial"/>
        </w:rPr>
        <w:t>The Co2 emission savings arising from the development or construction of renewable energy schemes would be forecast by reference to the annual estimated generation</w:t>
      </w:r>
      <w:r w:rsidR="00271773">
        <w:rPr>
          <w:rFonts w:cs="Arial"/>
        </w:rPr>
        <w:t xml:space="preserve"> of the schemes over their operational lifespan.  The annual estimated generation is typically computed by an independent technical advisor who utilises local long term resource data and technology production curves to make a forecast of the P50 generation, the statistical long-term average.  The operational lifespan of mainstream renewable energy schemes is expected to be at least 25 years. </w:t>
      </w:r>
      <w:r w:rsidR="00503332">
        <w:rPr>
          <w:rFonts w:cs="Arial"/>
        </w:rPr>
        <w:t>The Department for Business Energy &amp; Industrial Strategy’s</w:t>
      </w:r>
      <w:r w:rsidR="00503332" w:rsidRPr="00A5370E">
        <w:rPr>
          <w:rFonts w:cs="Arial"/>
        </w:rPr>
        <w:t xml:space="preserve"> “all non-renewable fuels” emissions statistic of 440 tonnes of carbon dioxide per GWh of electricity supplied in the </w:t>
      </w:r>
      <w:hyperlink r:id="rId12" w:history="1">
        <w:r w:rsidR="00503332" w:rsidRPr="00A5370E">
          <w:rPr>
            <w:rFonts w:cs="Arial"/>
          </w:rPr>
          <w:t>Digest of UK Energy Statistics </w:t>
        </w:r>
      </w:hyperlink>
      <w:r w:rsidR="00503332" w:rsidRPr="00A5370E">
        <w:rPr>
          <w:rFonts w:cs="Arial"/>
        </w:rPr>
        <w:t>(July 2021) gives an indication of the Co2 emissions that could be displaced by each kWh generated by the Fund’s investments</w:t>
      </w:r>
      <w:r w:rsidR="00A252B1">
        <w:rPr>
          <w:rFonts w:cs="Arial"/>
        </w:rPr>
        <w:t>; these government forecasts are updated periodically</w:t>
      </w:r>
      <w:r w:rsidR="00503332" w:rsidRPr="00A5370E">
        <w:rPr>
          <w:rFonts w:cs="Arial"/>
        </w:rPr>
        <w:t xml:space="preserve">.  The </w:t>
      </w:r>
      <w:r w:rsidR="00A252B1">
        <w:rPr>
          <w:rFonts w:cs="Arial"/>
        </w:rPr>
        <w:t xml:space="preserve">gross </w:t>
      </w:r>
      <w:r w:rsidR="00503332" w:rsidRPr="00A5370E">
        <w:rPr>
          <w:rFonts w:cs="Arial"/>
        </w:rPr>
        <w:t>Co2 displacement for a new renewable energy scheme created by the Fund is forecast as the P50 generation multiplied by the lifespan of the project multiplied by the displaced carbon dioxide.</w:t>
      </w:r>
      <w:r w:rsidR="00A252B1">
        <w:rPr>
          <w:rFonts w:cs="Arial"/>
        </w:rPr>
        <w:t xml:space="preserve">  The net Co2 displacement is calculated by deducting the estimated emissions associated with construction and operations.</w:t>
      </w:r>
    </w:p>
    <w:p w14:paraId="529A4654" w14:textId="50BC22FF" w:rsidR="00FA3B02" w:rsidRDefault="00503332" w:rsidP="00195BD4">
      <w:pPr>
        <w:spacing w:before="100" w:beforeAutospacing="1" w:after="120"/>
        <w:jc w:val="both"/>
        <w:rPr>
          <w:rFonts w:cs="Arial"/>
        </w:rPr>
      </w:pPr>
      <w:r>
        <w:rPr>
          <w:rFonts w:cs="Arial"/>
        </w:rPr>
        <w:t>The Co2 emission savings achieved each year by the Fund’s operational renewable energy schemes is calculated by reference to the actual export from the schemes, rather than the forecast P50.  Generation.  The method of capturing generation data varies by renewable energy technology</w:t>
      </w:r>
      <w:r w:rsidRPr="00A5370E">
        <w:rPr>
          <w:rFonts w:cs="Arial"/>
        </w:rPr>
        <w:t xml:space="preserve">.  </w:t>
      </w:r>
      <w:r w:rsidRPr="00A5370E">
        <w:t>For wind schemes</w:t>
      </w:r>
      <w:r w:rsidR="00117240" w:rsidRPr="00A5370E">
        <w:t>,</w:t>
      </w:r>
      <w:r w:rsidRPr="00A5370E">
        <w:t xml:space="preserve"> software from each wind turbine is reported each 10 minutes over the entire life of the wind farm</w:t>
      </w:r>
      <w:r w:rsidR="00A252B1" w:rsidRPr="00A5370E">
        <w:t xml:space="preserve"> by a SCADA system</w:t>
      </w:r>
      <w:r w:rsidRPr="00A5370E">
        <w:t xml:space="preserve">. Data can be monitored on a real time basis by way of a performance dashboard via a dedicated portal run by each turbine manufacturer. Additionally, all operational wind investee companies employ software created by Greenbyte called “Breeze” to analyse and present generation data, again in real time and on a granular basis. </w:t>
      </w:r>
      <w:r w:rsidR="009B6590">
        <w:t xml:space="preserve"> </w:t>
      </w:r>
      <w:r w:rsidRPr="00A5370E">
        <w:t>This data is “pulled” from the turbines via internet connections.</w:t>
      </w:r>
      <w:r w:rsidR="00A252B1" w:rsidRPr="00A5370E">
        <w:t xml:space="preserve">  For hydro-assets</w:t>
      </w:r>
      <w:r w:rsidR="003D5FBB" w:rsidRPr="00A5370E">
        <w:t>,</w:t>
      </w:r>
      <w:r w:rsidR="00A252B1" w:rsidRPr="00A5370E">
        <w:t xml:space="preserve"> generation data is available online through web portals.  For all technologies the actual exported power to the grid (less the losses caused by resistance in the cables between the turbines and the meters) also capture all power exported to the grid across all operational generation assets. Third-party electricity offtakers also have access to the meters and pay the investee companies for the electricity generated, which acts as a further control on data accuracy.</w:t>
      </w:r>
      <w:r w:rsidR="009B6590">
        <w:t xml:space="preserve"> </w:t>
      </w:r>
      <w:r w:rsidR="00FA3B02">
        <w:rPr>
          <w:rFonts w:cs="Arial"/>
        </w:rPr>
        <w:t xml:space="preserve">The impact of </w:t>
      </w:r>
      <w:r w:rsidR="00A252B1">
        <w:rPr>
          <w:rFonts w:cs="Arial"/>
        </w:rPr>
        <w:t xml:space="preserve">investments in </w:t>
      </w:r>
      <w:r w:rsidR="00FA3B02">
        <w:rPr>
          <w:rFonts w:cs="Arial"/>
        </w:rPr>
        <w:t xml:space="preserve">enabling technologies and businesses </w:t>
      </w:r>
      <w:r w:rsidR="00A252B1">
        <w:rPr>
          <w:rFonts w:cs="Arial"/>
        </w:rPr>
        <w:t xml:space="preserve">is a bespoke analysis depending on the nature of investment. It will rely on an estimation of the additional renewable energy capacity and generation that is enabled, </w:t>
      </w:r>
      <w:r w:rsidR="001E766A">
        <w:rPr>
          <w:rFonts w:cs="Arial"/>
        </w:rPr>
        <w:t>facilitated,</w:t>
      </w:r>
      <w:r w:rsidR="00A252B1">
        <w:rPr>
          <w:rFonts w:cs="Arial"/>
        </w:rPr>
        <w:t xml:space="preserve"> or </w:t>
      </w:r>
      <w:r w:rsidR="00E476E1">
        <w:rPr>
          <w:rFonts w:cs="Arial"/>
        </w:rPr>
        <w:t>increased, as multiplied by the rate of Co2 displacement.</w:t>
      </w:r>
    </w:p>
    <w:p w14:paraId="39255103" w14:textId="14BE9E17" w:rsidR="00635CA5" w:rsidRPr="00A5370E" w:rsidRDefault="008055C1" w:rsidP="008055C1">
      <w:pPr>
        <w:pStyle w:val="ListParagraph"/>
        <w:numPr>
          <w:ilvl w:val="0"/>
          <w:numId w:val="4"/>
        </w:numPr>
        <w:rPr>
          <w:b/>
          <w:bCs/>
        </w:rPr>
      </w:pPr>
      <w:r w:rsidRPr="00A5370E">
        <w:rPr>
          <w:b/>
          <w:bCs/>
        </w:rPr>
        <w:lastRenderedPageBreak/>
        <w:t xml:space="preserve">Limitations to Methodologies </w:t>
      </w:r>
      <w:r w:rsidR="00642593" w:rsidRPr="00A5370E">
        <w:rPr>
          <w:b/>
          <w:bCs/>
        </w:rPr>
        <w:t>and</w:t>
      </w:r>
      <w:r w:rsidRPr="00A5370E">
        <w:rPr>
          <w:b/>
          <w:bCs/>
        </w:rPr>
        <w:t xml:space="preserve"> Data</w:t>
      </w:r>
    </w:p>
    <w:p w14:paraId="23B36A08" w14:textId="63CF2336" w:rsidR="00F61F87" w:rsidRPr="00A5370E" w:rsidRDefault="00F61F87" w:rsidP="00F61F87">
      <w:pPr>
        <w:jc w:val="both"/>
      </w:pPr>
      <w:r w:rsidRPr="00A5370E">
        <w:t xml:space="preserve">The data from the turbines and meters accurately measure all clean energy generated. There is no generation that is not measured and verified in some capacity by a third party who agrees to pay the </w:t>
      </w:r>
      <w:r w:rsidR="00642593" w:rsidRPr="00A5370E">
        <w:t>Fund’s</w:t>
      </w:r>
      <w:r w:rsidRPr="00A5370E">
        <w:t xml:space="preserve"> investee company for said generation.</w:t>
      </w:r>
    </w:p>
    <w:p w14:paraId="1C86A9CF" w14:textId="285D9ADA" w:rsidR="00E476E1" w:rsidRPr="00A5370E" w:rsidRDefault="00E476E1" w:rsidP="00F61F87">
      <w:pPr>
        <w:jc w:val="both"/>
      </w:pPr>
      <w:r w:rsidRPr="00A5370E">
        <w:t>The method involved in forecasting the Co2 displacement of the schemes developed and constructed by the Fund relies on an estimation of the future generation.  This estimation is typically performed by an independent technical advisor.</w:t>
      </w:r>
    </w:p>
    <w:p w14:paraId="2A0A637B" w14:textId="5C1AE783" w:rsidR="00E476E1" w:rsidRPr="00A5370E" w:rsidRDefault="00E476E1" w:rsidP="00F61F87">
      <w:pPr>
        <w:jc w:val="both"/>
      </w:pPr>
      <w:r w:rsidRPr="00A5370E">
        <w:t xml:space="preserve">The method involved in forecasting the Co2 displacement of enabling technologies and businesses is a bespoke analysis that assesses the </w:t>
      </w:r>
      <w:r w:rsidRPr="00A5370E">
        <w:rPr>
          <w:i/>
          <w:iCs/>
        </w:rPr>
        <w:t>indirect</w:t>
      </w:r>
      <w:r w:rsidRPr="00A5370E">
        <w:t xml:space="preserve"> impact on renewable energy capacity and generation and involves estimation.</w:t>
      </w:r>
    </w:p>
    <w:p w14:paraId="7A9D7533" w14:textId="758E7198" w:rsidR="001E3FCC" w:rsidRDefault="00F61F87" w:rsidP="00F61F87">
      <w:pPr>
        <w:rPr>
          <w:b/>
          <w:bCs/>
        </w:rPr>
      </w:pPr>
      <w:r w:rsidRPr="00A5370E">
        <w:t xml:space="preserve">Whilst the government statistics on carbon emissions in the UK per kWh do contain some estimates and assumptions, they are outside the control of the </w:t>
      </w:r>
      <w:r w:rsidR="00642593" w:rsidRPr="00A5370E">
        <w:t>F</w:t>
      </w:r>
      <w:r w:rsidRPr="00A5370E">
        <w:t>und.</w:t>
      </w:r>
    </w:p>
    <w:p w14:paraId="75859A4A" w14:textId="6E565D9A" w:rsidR="008055C1" w:rsidRDefault="008055C1" w:rsidP="008055C1">
      <w:pPr>
        <w:pStyle w:val="ListParagraph"/>
        <w:numPr>
          <w:ilvl w:val="0"/>
          <w:numId w:val="4"/>
        </w:numPr>
        <w:spacing w:after="0" w:line="240" w:lineRule="auto"/>
        <w:jc w:val="both"/>
        <w:rPr>
          <w:b/>
          <w:bCs/>
        </w:rPr>
      </w:pPr>
      <w:r>
        <w:rPr>
          <w:b/>
          <w:bCs/>
        </w:rPr>
        <w:t>Attainment of Sustainable Investment Objective</w:t>
      </w:r>
    </w:p>
    <w:p w14:paraId="0251DC7A" w14:textId="47D473A1" w:rsidR="00CE02CA" w:rsidRDefault="00CE02CA" w:rsidP="00CE02CA">
      <w:pPr>
        <w:spacing w:after="0" w:line="240" w:lineRule="auto"/>
        <w:jc w:val="both"/>
        <w:rPr>
          <w:b/>
          <w:bCs/>
        </w:rPr>
      </w:pPr>
    </w:p>
    <w:p w14:paraId="61BE120B" w14:textId="16DF6723" w:rsidR="0045250A" w:rsidRDefault="00A168D9" w:rsidP="007D6F45">
      <w:pPr>
        <w:spacing w:after="0" w:line="240" w:lineRule="auto"/>
        <w:jc w:val="both"/>
      </w:pPr>
      <w:r w:rsidRPr="0047323F">
        <w:t xml:space="preserve">The </w:t>
      </w:r>
      <w:r w:rsidR="0028093D" w:rsidRPr="0047323F">
        <w:t xml:space="preserve">sustainability performance </w:t>
      </w:r>
      <w:r w:rsidR="00C227A5" w:rsidRPr="0047323F">
        <w:t xml:space="preserve">of the Fund measured by </w:t>
      </w:r>
      <w:r w:rsidR="009467C4" w:rsidRPr="0047323F">
        <w:t xml:space="preserve">the </w:t>
      </w:r>
      <w:r w:rsidR="0047323F">
        <w:t xml:space="preserve">amount of </w:t>
      </w:r>
      <w:r w:rsidR="00492ED7" w:rsidRPr="0047323F">
        <w:t xml:space="preserve">clean energy generated </w:t>
      </w:r>
      <w:r w:rsidR="0019624A" w:rsidRPr="0047323F">
        <w:t xml:space="preserve">for each asset and across the </w:t>
      </w:r>
      <w:r w:rsidR="009467C4" w:rsidRPr="0047323F">
        <w:t xml:space="preserve">Fund </w:t>
      </w:r>
      <w:r w:rsidR="0019624A" w:rsidRPr="0047323F">
        <w:t xml:space="preserve">portfolio, together with </w:t>
      </w:r>
      <w:r w:rsidR="0098528C" w:rsidRPr="0047323F">
        <w:t xml:space="preserve">cumulative </w:t>
      </w:r>
      <w:r w:rsidR="00650698" w:rsidRPr="0047323F">
        <w:t>CO2 emissions</w:t>
      </w:r>
      <w:r w:rsidR="0098528C" w:rsidRPr="0047323F">
        <w:t xml:space="preserve"> savings</w:t>
      </w:r>
      <w:r w:rsidR="00545D12" w:rsidRPr="0047323F">
        <w:t>, shows that the sustainability investment objective of the Fund is being attained.</w:t>
      </w:r>
      <w:r w:rsidR="00313A5D">
        <w:t xml:space="preserve"> </w:t>
      </w:r>
    </w:p>
    <w:p w14:paraId="1384595F" w14:textId="77777777" w:rsidR="007D6F45" w:rsidRDefault="007D6F45" w:rsidP="007D6F45">
      <w:pPr>
        <w:spacing w:after="0" w:line="240" w:lineRule="auto"/>
        <w:jc w:val="both"/>
      </w:pPr>
    </w:p>
    <w:p w14:paraId="644CF64F" w14:textId="0C766F85" w:rsidR="008055C1" w:rsidRPr="008055C1" w:rsidRDefault="008055C1" w:rsidP="008055C1">
      <w:pPr>
        <w:pStyle w:val="ListParagraph"/>
        <w:numPr>
          <w:ilvl w:val="0"/>
          <w:numId w:val="4"/>
        </w:numPr>
        <w:spacing w:after="0" w:line="240" w:lineRule="auto"/>
        <w:jc w:val="both"/>
        <w:rPr>
          <w:b/>
          <w:bCs/>
        </w:rPr>
      </w:pPr>
      <w:r>
        <w:rPr>
          <w:b/>
          <w:bCs/>
        </w:rPr>
        <w:t>Objective of a Reduction in Carbon Emissions</w:t>
      </w:r>
    </w:p>
    <w:p w14:paraId="391C4300" w14:textId="1BF89670" w:rsidR="00C94FDB" w:rsidRDefault="00C94FDB" w:rsidP="00C94FDB">
      <w:pPr>
        <w:spacing w:after="0" w:line="240" w:lineRule="auto"/>
        <w:jc w:val="both"/>
      </w:pPr>
    </w:p>
    <w:p w14:paraId="7A829C20" w14:textId="3A7563F8" w:rsidR="00C63D0F" w:rsidRDefault="00317AA7" w:rsidP="00C94FDB">
      <w:pPr>
        <w:spacing w:after="0" w:line="240" w:lineRule="auto"/>
        <w:jc w:val="both"/>
      </w:pPr>
      <w:r>
        <w:t xml:space="preserve">Renewable energy </w:t>
      </w:r>
      <w:r w:rsidR="0076768C">
        <w:t xml:space="preserve">generation </w:t>
      </w:r>
      <w:r>
        <w:t>by</w:t>
      </w:r>
      <w:r w:rsidR="0076768C">
        <w:t xml:space="preserve"> its very nature contributes to </w:t>
      </w:r>
      <w:r w:rsidR="0084000D">
        <w:t xml:space="preserve">the </w:t>
      </w:r>
      <w:r w:rsidR="0076768C">
        <w:t xml:space="preserve">reduction in carbon </w:t>
      </w:r>
      <w:r w:rsidR="00C63D0F">
        <w:t>emissions</w:t>
      </w:r>
      <w:r w:rsidR="003139B8">
        <w:t xml:space="preserve"> across society</w:t>
      </w:r>
      <w:r w:rsidR="00C63D0F">
        <w:t xml:space="preserve">.  </w:t>
      </w:r>
      <w:r w:rsidR="000001ED">
        <w:t>As set out in secti</w:t>
      </w:r>
      <w:r w:rsidR="003D4247">
        <w:t xml:space="preserve">on </w:t>
      </w:r>
      <w:r w:rsidR="004B68E9">
        <w:t>8</w:t>
      </w:r>
      <w:r w:rsidR="003D4247">
        <w:t xml:space="preserve"> </w:t>
      </w:r>
      <w:r w:rsidR="000001ED">
        <w:t xml:space="preserve">above, </w:t>
      </w:r>
      <w:r w:rsidR="00230AFE">
        <w:t xml:space="preserve">Temporis attempts to quantify this for the Fund </w:t>
      </w:r>
      <w:r w:rsidR="005D499F">
        <w:t>by measuring</w:t>
      </w:r>
      <w:r w:rsidR="00F82910">
        <w:t>, monitoring</w:t>
      </w:r>
      <w:r w:rsidR="005D499F">
        <w:t xml:space="preserve"> and reporting metrics for </w:t>
      </w:r>
      <w:r w:rsidR="006C6FF5">
        <w:t xml:space="preserve">clean </w:t>
      </w:r>
      <w:r w:rsidR="000F3B77">
        <w:t xml:space="preserve">power generated and </w:t>
      </w:r>
      <w:r w:rsidR="005D499F">
        <w:t>C02 emission</w:t>
      </w:r>
      <w:r w:rsidR="000F3B77">
        <w:t xml:space="preserve"> savings. </w:t>
      </w:r>
      <w:r w:rsidR="00CE267C">
        <w:t xml:space="preserve"> </w:t>
      </w:r>
    </w:p>
    <w:p w14:paraId="12DA7BAB" w14:textId="77777777" w:rsidR="00C63D0F" w:rsidRDefault="00C63D0F" w:rsidP="00C94FDB">
      <w:pPr>
        <w:spacing w:after="0" w:line="240" w:lineRule="auto"/>
        <w:jc w:val="both"/>
      </w:pPr>
    </w:p>
    <w:p w14:paraId="798C1C74" w14:textId="16737335" w:rsidR="00C94FDB" w:rsidRDefault="00F54802" w:rsidP="00F54802">
      <w:pPr>
        <w:pStyle w:val="ListParagraph"/>
        <w:numPr>
          <w:ilvl w:val="0"/>
          <w:numId w:val="4"/>
        </w:numPr>
        <w:spacing w:after="0" w:line="240" w:lineRule="auto"/>
        <w:jc w:val="both"/>
        <w:rPr>
          <w:b/>
          <w:bCs/>
        </w:rPr>
      </w:pPr>
      <w:r w:rsidRPr="00F54802">
        <w:rPr>
          <w:b/>
          <w:bCs/>
        </w:rPr>
        <w:t>Further Information</w:t>
      </w:r>
    </w:p>
    <w:p w14:paraId="6617685B" w14:textId="3CFABF7F" w:rsidR="00F54802" w:rsidRDefault="00F54802" w:rsidP="00F54802">
      <w:pPr>
        <w:spacing w:after="0" w:line="240" w:lineRule="auto"/>
        <w:jc w:val="both"/>
        <w:rPr>
          <w:b/>
          <w:bCs/>
        </w:rPr>
      </w:pPr>
    </w:p>
    <w:p w14:paraId="7A91487E" w14:textId="7100C1E8" w:rsidR="00F54802" w:rsidRPr="00DA42AA" w:rsidRDefault="00F54802" w:rsidP="00F54802">
      <w:pPr>
        <w:spacing w:after="0" w:line="240" w:lineRule="auto"/>
        <w:jc w:val="both"/>
      </w:pPr>
      <w:r w:rsidRPr="00FE3B2D">
        <w:t>For further information on</w:t>
      </w:r>
      <w:r w:rsidR="002C10FF" w:rsidRPr="00FE3B2D">
        <w:t xml:space="preserve"> the sustainability features of the Fund </w:t>
      </w:r>
      <w:r w:rsidR="003D6721" w:rsidRPr="00FE3B2D">
        <w:t>or the ESG policy of the</w:t>
      </w:r>
      <w:r w:rsidR="007309D6" w:rsidRPr="00FE3B2D">
        <w:t xml:space="preserve"> Manager, please contact Andres Senouf</w:t>
      </w:r>
      <w:r w:rsidR="00FC30F3" w:rsidRPr="00FE3B2D">
        <w:t xml:space="preserve"> at Andres.senouf@temporiscapital.com</w:t>
      </w:r>
      <w:r w:rsidR="00FE3B2D">
        <w:t>.</w:t>
      </w:r>
      <w:r w:rsidR="004F73D9" w:rsidRPr="00DA42AA">
        <w:t xml:space="preserve"> </w:t>
      </w:r>
    </w:p>
    <w:sectPr w:rsidR="00F54802" w:rsidRPr="00DA42AA" w:rsidSect="003036F2">
      <w:footerReference w:type="even"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6F68" w14:textId="77777777" w:rsidR="00D20716" w:rsidRDefault="00D20716" w:rsidP="00086925">
      <w:pPr>
        <w:spacing w:after="0" w:line="240" w:lineRule="auto"/>
      </w:pPr>
      <w:r>
        <w:separator/>
      </w:r>
    </w:p>
  </w:endnote>
  <w:endnote w:type="continuationSeparator" w:id="0">
    <w:p w14:paraId="7C119BCF" w14:textId="77777777" w:rsidR="00D20716" w:rsidRDefault="00D20716" w:rsidP="0008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D4D1" w14:textId="6B598BC8" w:rsidR="00086925" w:rsidRDefault="008C2A57">
    <w:pPr>
      <w:pStyle w:val="Footer"/>
    </w:pPr>
    <w:r>
      <w:t>506473506v2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1B4F" w14:textId="7AC9401F" w:rsidR="00086925" w:rsidRDefault="008C2A57">
    <w:pPr>
      <w:pStyle w:val="Footer"/>
    </w:pPr>
    <w:r>
      <w:t>506473506v2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846E" w14:textId="77777777" w:rsidR="00D20716" w:rsidRDefault="00D20716" w:rsidP="00086925">
      <w:pPr>
        <w:spacing w:after="0" w:line="240" w:lineRule="auto"/>
      </w:pPr>
      <w:r>
        <w:separator/>
      </w:r>
    </w:p>
  </w:footnote>
  <w:footnote w:type="continuationSeparator" w:id="0">
    <w:p w14:paraId="7AD90BDE" w14:textId="77777777" w:rsidR="00D20716" w:rsidRDefault="00D20716" w:rsidP="00086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81"/>
    <w:multiLevelType w:val="hybridMultilevel"/>
    <w:tmpl w:val="50D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B1574"/>
    <w:multiLevelType w:val="hybridMultilevel"/>
    <w:tmpl w:val="833C068A"/>
    <w:lvl w:ilvl="0" w:tplc="D6AAB97A">
      <w:start w:val="1"/>
      <w:numFmt w:val="bullet"/>
      <w:lvlText w:val="•"/>
      <w:lvlJc w:val="left"/>
      <w:pPr>
        <w:tabs>
          <w:tab w:val="num" w:pos="360"/>
        </w:tabs>
        <w:ind w:left="360" w:hanging="360"/>
      </w:pPr>
      <w:rPr>
        <w:rFonts w:ascii="Arial" w:hAnsi="Arial" w:hint="default"/>
      </w:rPr>
    </w:lvl>
    <w:lvl w:ilvl="1" w:tplc="16287476" w:tentative="1">
      <w:start w:val="1"/>
      <w:numFmt w:val="bullet"/>
      <w:lvlText w:val="•"/>
      <w:lvlJc w:val="left"/>
      <w:pPr>
        <w:tabs>
          <w:tab w:val="num" w:pos="1080"/>
        </w:tabs>
        <w:ind w:left="1080" w:hanging="360"/>
      </w:pPr>
      <w:rPr>
        <w:rFonts w:ascii="Arial" w:hAnsi="Arial" w:hint="default"/>
      </w:rPr>
    </w:lvl>
    <w:lvl w:ilvl="2" w:tplc="2F925AB2" w:tentative="1">
      <w:start w:val="1"/>
      <w:numFmt w:val="bullet"/>
      <w:lvlText w:val="•"/>
      <w:lvlJc w:val="left"/>
      <w:pPr>
        <w:tabs>
          <w:tab w:val="num" w:pos="1800"/>
        </w:tabs>
        <w:ind w:left="1800" w:hanging="360"/>
      </w:pPr>
      <w:rPr>
        <w:rFonts w:ascii="Arial" w:hAnsi="Arial" w:hint="default"/>
      </w:rPr>
    </w:lvl>
    <w:lvl w:ilvl="3" w:tplc="C4EAE232" w:tentative="1">
      <w:start w:val="1"/>
      <w:numFmt w:val="bullet"/>
      <w:lvlText w:val="•"/>
      <w:lvlJc w:val="left"/>
      <w:pPr>
        <w:tabs>
          <w:tab w:val="num" w:pos="2520"/>
        </w:tabs>
        <w:ind w:left="2520" w:hanging="360"/>
      </w:pPr>
      <w:rPr>
        <w:rFonts w:ascii="Arial" w:hAnsi="Arial" w:hint="default"/>
      </w:rPr>
    </w:lvl>
    <w:lvl w:ilvl="4" w:tplc="19CE78FA" w:tentative="1">
      <w:start w:val="1"/>
      <w:numFmt w:val="bullet"/>
      <w:lvlText w:val="•"/>
      <w:lvlJc w:val="left"/>
      <w:pPr>
        <w:tabs>
          <w:tab w:val="num" w:pos="3240"/>
        </w:tabs>
        <w:ind w:left="3240" w:hanging="360"/>
      </w:pPr>
      <w:rPr>
        <w:rFonts w:ascii="Arial" w:hAnsi="Arial" w:hint="default"/>
      </w:rPr>
    </w:lvl>
    <w:lvl w:ilvl="5" w:tplc="8CC03F9A" w:tentative="1">
      <w:start w:val="1"/>
      <w:numFmt w:val="bullet"/>
      <w:lvlText w:val="•"/>
      <w:lvlJc w:val="left"/>
      <w:pPr>
        <w:tabs>
          <w:tab w:val="num" w:pos="3960"/>
        </w:tabs>
        <w:ind w:left="3960" w:hanging="360"/>
      </w:pPr>
      <w:rPr>
        <w:rFonts w:ascii="Arial" w:hAnsi="Arial" w:hint="default"/>
      </w:rPr>
    </w:lvl>
    <w:lvl w:ilvl="6" w:tplc="48206604" w:tentative="1">
      <w:start w:val="1"/>
      <w:numFmt w:val="bullet"/>
      <w:lvlText w:val="•"/>
      <w:lvlJc w:val="left"/>
      <w:pPr>
        <w:tabs>
          <w:tab w:val="num" w:pos="4680"/>
        </w:tabs>
        <w:ind w:left="4680" w:hanging="360"/>
      </w:pPr>
      <w:rPr>
        <w:rFonts w:ascii="Arial" w:hAnsi="Arial" w:hint="default"/>
      </w:rPr>
    </w:lvl>
    <w:lvl w:ilvl="7" w:tplc="0A304AF8" w:tentative="1">
      <w:start w:val="1"/>
      <w:numFmt w:val="bullet"/>
      <w:lvlText w:val="•"/>
      <w:lvlJc w:val="left"/>
      <w:pPr>
        <w:tabs>
          <w:tab w:val="num" w:pos="5400"/>
        </w:tabs>
        <w:ind w:left="5400" w:hanging="360"/>
      </w:pPr>
      <w:rPr>
        <w:rFonts w:ascii="Arial" w:hAnsi="Arial" w:hint="default"/>
      </w:rPr>
    </w:lvl>
    <w:lvl w:ilvl="8" w:tplc="87986F2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6B12925"/>
    <w:multiLevelType w:val="multilevel"/>
    <w:tmpl w:val="4266CAEC"/>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44AC1"/>
    <w:multiLevelType w:val="hybridMultilevel"/>
    <w:tmpl w:val="9BC69F60"/>
    <w:lvl w:ilvl="0" w:tplc="A8A44BE0">
      <w:start w:val="1"/>
      <w:numFmt w:val="lowerRoman"/>
      <w:lvlText w:val="%1."/>
      <w:lvlJc w:val="right"/>
      <w:pPr>
        <w:ind w:left="21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0E5678"/>
    <w:multiLevelType w:val="hybridMultilevel"/>
    <w:tmpl w:val="0010C8E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4535E4"/>
    <w:multiLevelType w:val="hybridMultilevel"/>
    <w:tmpl w:val="046626EE"/>
    <w:lvl w:ilvl="0" w:tplc="E2F2E4F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A4C112D"/>
    <w:multiLevelType w:val="hybridMultilevel"/>
    <w:tmpl w:val="C1EE7A1A"/>
    <w:lvl w:ilvl="0" w:tplc="852ED3F0">
      <w:start w:val="1"/>
      <w:numFmt w:val="bullet"/>
      <w:lvlText w:val="•"/>
      <w:lvlJc w:val="left"/>
      <w:pPr>
        <w:tabs>
          <w:tab w:val="num" w:pos="360"/>
        </w:tabs>
        <w:ind w:left="360" w:hanging="360"/>
      </w:pPr>
      <w:rPr>
        <w:rFonts w:ascii="Arial" w:hAnsi="Arial" w:hint="default"/>
      </w:rPr>
    </w:lvl>
    <w:lvl w:ilvl="1" w:tplc="5526F110" w:tentative="1">
      <w:start w:val="1"/>
      <w:numFmt w:val="bullet"/>
      <w:lvlText w:val="•"/>
      <w:lvlJc w:val="left"/>
      <w:pPr>
        <w:tabs>
          <w:tab w:val="num" w:pos="1080"/>
        </w:tabs>
        <w:ind w:left="1080" w:hanging="360"/>
      </w:pPr>
      <w:rPr>
        <w:rFonts w:ascii="Arial" w:hAnsi="Arial" w:hint="default"/>
      </w:rPr>
    </w:lvl>
    <w:lvl w:ilvl="2" w:tplc="809415B8" w:tentative="1">
      <w:start w:val="1"/>
      <w:numFmt w:val="bullet"/>
      <w:lvlText w:val="•"/>
      <w:lvlJc w:val="left"/>
      <w:pPr>
        <w:tabs>
          <w:tab w:val="num" w:pos="1800"/>
        </w:tabs>
        <w:ind w:left="1800" w:hanging="360"/>
      </w:pPr>
      <w:rPr>
        <w:rFonts w:ascii="Arial" w:hAnsi="Arial" w:hint="default"/>
      </w:rPr>
    </w:lvl>
    <w:lvl w:ilvl="3" w:tplc="AB042DB0" w:tentative="1">
      <w:start w:val="1"/>
      <w:numFmt w:val="bullet"/>
      <w:lvlText w:val="•"/>
      <w:lvlJc w:val="left"/>
      <w:pPr>
        <w:tabs>
          <w:tab w:val="num" w:pos="2520"/>
        </w:tabs>
        <w:ind w:left="2520" w:hanging="360"/>
      </w:pPr>
      <w:rPr>
        <w:rFonts w:ascii="Arial" w:hAnsi="Arial" w:hint="default"/>
      </w:rPr>
    </w:lvl>
    <w:lvl w:ilvl="4" w:tplc="026C3EB0" w:tentative="1">
      <w:start w:val="1"/>
      <w:numFmt w:val="bullet"/>
      <w:lvlText w:val="•"/>
      <w:lvlJc w:val="left"/>
      <w:pPr>
        <w:tabs>
          <w:tab w:val="num" w:pos="3240"/>
        </w:tabs>
        <w:ind w:left="3240" w:hanging="360"/>
      </w:pPr>
      <w:rPr>
        <w:rFonts w:ascii="Arial" w:hAnsi="Arial" w:hint="default"/>
      </w:rPr>
    </w:lvl>
    <w:lvl w:ilvl="5" w:tplc="35FC5644" w:tentative="1">
      <w:start w:val="1"/>
      <w:numFmt w:val="bullet"/>
      <w:lvlText w:val="•"/>
      <w:lvlJc w:val="left"/>
      <w:pPr>
        <w:tabs>
          <w:tab w:val="num" w:pos="3960"/>
        </w:tabs>
        <w:ind w:left="3960" w:hanging="360"/>
      </w:pPr>
      <w:rPr>
        <w:rFonts w:ascii="Arial" w:hAnsi="Arial" w:hint="default"/>
      </w:rPr>
    </w:lvl>
    <w:lvl w:ilvl="6" w:tplc="C2084C72" w:tentative="1">
      <w:start w:val="1"/>
      <w:numFmt w:val="bullet"/>
      <w:lvlText w:val="•"/>
      <w:lvlJc w:val="left"/>
      <w:pPr>
        <w:tabs>
          <w:tab w:val="num" w:pos="4680"/>
        </w:tabs>
        <w:ind w:left="4680" w:hanging="360"/>
      </w:pPr>
      <w:rPr>
        <w:rFonts w:ascii="Arial" w:hAnsi="Arial" w:hint="default"/>
      </w:rPr>
    </w:lvl>
    <w:lvl w:ilvl="7" w:tplc="0C56B3D0" w:tentative="1">
      <w:start w:val="1"/>
      <w:numFmt w:val="bullet"/>
      <w:lvlText w:val="•"/>
      <w:lvlJc w:val="left"/>
      <w:pPr>
        <w:tabs>
          <w:tab w:val="num" w:pos="5400"/>
        </w:tabs>
        <w:ind w:left="5400" w:hanging="360"/>
      </w:pPr>
      <w:rPr>
        <w:rFonts w:ascii="Arial" w:hAnsi="Arial" w:hint="default"/>
      </w:rPr>
    </w:lvl>
    <w:lvl w:ilvl="8" w:tplc="D92CF19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C564FE4"/>
    <w:multiLevelType w:val="hybridMultilevel"/>
    <w:tmpl w:val="0316B170"/>
    <w:lvl w:ilvl="0" w:tplc="759677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391D02"/>
    <w:multiLevelType w:val="hybridMultilevel"/>
    <w:tmpl w:val="CECE721C"/>
    <w:lvl w:ilvl="0" w:tplc="C328684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9C64DD9"/>
    <w:multiLevelType w:val="hybridMultilevel"/>
    <w:tmpl w:val="8082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62541"/>
    <w:multiLevelType w:val="hybridMultilevel"/>
    <w:tmpl w:val="64FC8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442D10"/>
    <w:multiLevelType w:val="hybridMultilevel"/>
    <w:tmpl w:val="C106BE9A"/>
    <w:lvl w:ilvl="0" w:tplc="C7A45300">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8A54DE"/>
    <w:multiLevelType w:val="multilevel"/>
    <w:tmpl w:val="748EF5AA"/>
    <w:lvl w:ilvl="0">
      <w:start w:val="1"/>
      <w:numFmt w:val="decimal"/>
      <w:pStyle w:val="Heading1"/>
      <w:lvlText w:val="%1"/>
      <w:lvlJc w:val="left"/>
      <w:pPr>
        <w:tabs>
          <w:tab w:val="num" w:pos="432"/>
        </w:tabs>
        <w:ind w:left="432" w:hanging="432"/>
      </w:pPr>
      <w:rPr>
        <w:color w:val="00457D"/>
        <w:sz w:val="28"/>
        <w:szCs w:val="28"/>
      </w:rPr>
    </w:lvl>
    <w:lvl w:ilvl="1">
      <w:start w:val="1"/>
      <w:numFmt w:val="decimal"/>
      <w:pStyle w:val="Heading2"/>
      <w:lvlText w:val="%1.%2"/>
      <w:lvlJc w:val="left"/>
      <w:pPr>
        <w:tabs>
          <w:tab w:val="num" w:pos="576"/>
        </w:tabs>
        <w:ind w:left="576" w:hanging="576"/>
      </w:pPr>
      <w:rPr>
        <w:rFonts w:ascii="Calibri" w:hAnsi="Calibri" w:cs="Calibri" w:hint="default"/>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9"/>
  </w:num>
  <w:num w:numId="7">
    <w:abstractNumId w:val="7"/>
  </w:num>
  <w:num w:numId="8">
    <w:abstractNumId w:val="6"/>
  </w:num>
  <w:num w:numId="9">
    <w:abstractNumId w:val="1"/>
  </w:num>
  <w:num w:numId="10">
    <w:abstractNumId w:val="11"/>
  </w:num>
  <w:num w:numId="11">
    <w:abstractNumId w:val="2"/>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85"/>
    <w:rsid w:val="000001ED"/>
    <w:rsid w:val="00013443"/>
    <w:rsid w:val="00017C2C"/>
    <w:rsid w:val="00020CE3"/>
    <w:rsid w:val="0002306D"/>
    <w:rsid w:val="00023BB6"/>
    <w:rsid w:val="00030FEB"/>
    <w:rsid w:val="00031960"/>
    <w:rsid w:val="00043EEF"/>
    <w:rsid w:val="00045CF2"/>
    <w:rsid w:val="00052DF1"/>
    <w:rsid w:val="00053226"/>
    <w:rsid w:val="00060D2D"/>
    <w:rsid w:val="00063712"/>
    <w:rsid w:val="000645A0"/>
    <w:rsid w:val="00071426"/>
    <w:rsid w:val="00077E11"/>
    <w:rsid w:val="00081480"/>
    <w:rsid w:val="0008248F"/>
    <w:rsid w:val="00086925"/>
    <w:rsid w:val="00093E3A"/>
    <w:rsid w:val="000A029F"/>
    <w:rsid w:val="000A5804"/>
    <w:rsid w:val="000A61C8"/>
    <w:rsid w:val="000B3315"/>
    <w:rsid w:val="000B6E86"/>
    <w:rsid w:val="000D00C8"/>
    <w:rsid w:val="000D5912"/>
    <w:rsid w:val="000E2E39"/>
    <w:rsid w:val="000F1625"/>
    <w:rsid w:val="000F39B5"/>
    <w:rsid w:val="000F3B77"/>
    <w:rsid w:val="000F43F1"/>
    <w:rsid w:val="000F6681"/>
    <w:rsid w:val="001014E8"/>
    <w:rsid w:val="00107124"/>
    <w:rsid w:val="001114A0"/>
    <w:rsid w:val="00117240"/>
    <w:rsid w:val="0011726D"/>
    <w:rsid w:val="001177CD"/>
    <w:rsid w:val="00124D17"/>
    <w:rsid w:val="00125FED"/>
    <w:rsid w:val="00135BB4"/>
    <w:rsid w:val="00140FA9"/>
    <w:rsid w:val="00157871"/>
    <w:rsid w:val="00163654"/>
    <w:rsid w:val="00163DD2"/>
    <w:rsid w:val="0017121E"/>
    <w:rsid w:val="001813C7"/>
    <w:rsid w:val="00186177"/>
    <w:rsid w:val="00190538"/>
    <w:rsid w:val="00195BD4"/>
    <w:rsid w:val="0019624A"/>
    <w:rsid w:val="001A6EFD"/>
    <w:rsid w:val="001A6F8B"/>
    <w:rsid w:val="001B01CB"/>
    <w:rsid w:val="001C20D2"/>
    <w:rsid w:val="001D0B45"/>
    <w:rsid w:val="001E059F"/>
    <w:rsid w:val="001E3FCC"/>
    <w:rsid w:val="001E5294"/>
    <w:rsid w:val="001E6D1B"/>
    <w:rsid w:val="001E766A"/>
    <w:rsid w:val="001F3F84"/>
    <w:rsid w:val="001F4240"/>
    <w:rsid w:val="001F652F"/>
    <w:rsid w:val="00200342"/>
    <w:rsid w:val="002214E7"/>
    <w:rsid w:val="00226AA3"/>
    <w:rsid w:val="00230AFE"/>
    <w:rsid w:val="00244480"/>
    <w:rsid w:val="00252C1F"/>
    <w:rsid w:val="00260E0D"/>
    <w:rsid w:val="0026366E"/>
    <w:rsid w:val="00264D12"/>
    <w:rsid w:val="00264EEA"/>
    <w:rsid w:val="00264F42"/>
    <w:rsid w:val="00271773"/>
    <w:rsid w:val="002726E0"/>
    <w:rsid w:val="00273960"/>
    <w:rsid w:val="0028093D"/>
    <w:rsid w:val="002816A3"/>
    <w:rsid w:val="00283D43"/>
    <w:rsid w:val="002A4B20"/>
    <w:rsid w:val="002A4F64"/>
    <w:rsid w:val="002A55D4"/>
    <w:rsid w:val="002A60A7"/>
    <w:rsid w:val="002B0021"/>
    <w:rsid w:val="002B217A"/>
    <w:rsid w:val="002B3369"/>
    <w:rsid w:val="002C10FF"/>
    <w:rsid w:val="002C29B6"/>
    <w:rsid w:val="002C2A51"/>
    <w:rsid w:val="002D0C93"/>
    <w:rsid w:val="002D3A98"/>
    <w:rsid w:val="002D4CB9"/>
    <w:rsid w:val="002D6490"/>
    <w:rsid w:val="002D6A95"/>
    <w:rsid w:val="002E34E0"/>
    <w:rsid w:val="002F223F"/>
    <w:rsid w:val="00302B81"/>
    <w:rsid w:val="003036F2"/>
    <w:rsid w:val="00306580"/>
    <w:rsid w:val="00312B66"/>
    <w:rsid w:val="003139B8"/>
    <w:rsid w:val="00313A5D"/>
    <w:rsid w:val="00316A00"/>
    <w:rsid w:val="00317AA7"/>
    <w:rsid w:val="00330675"/>
    <w:rsid w:val="00330E88"/>
    <w:rsid w:val="00333361"/>
    <w:rsid w:val="0033745D"/>
    <w:rsid w:val="0033794E"/>
    <w:rsid w:val="00351667"/>
    <w:rsid w:val="00364FD2"/>
    <w:rsid w:val="0037110B"/>
    <w:rsid w:val="00380652"/>
    <w:rsid w:val="00380B74"/>
    <w:rsid w:val="003812DD"/>
    <w:rsid w:val="00386385"/>
    <w:rsid w:val="003A3E35"/>
    <w:rsid w:val="003B4034"/>
    <w:rsid w:val="003B49EA"/>
    <w:rsid w:val="003B4C6B"/>
    <w:rsid w:val="003B57BD"/>
    <w:rsid w:val="003D117F"/>
    <w:rsid w:val="003D17C7"/>
    <w:rsid w:val="003D2439"/>
    <w:rsid w:val="003D263B"/>
    <w:rsid w:val="003D2AD2"/>
    <w:rsid w:val="003D4247"/>
    <w:rsid w:val="003D4D4A"/>
    <w:rsid w:val="003D5FBB"/>
    <w:rsid w:val="003D6721"/>
    <w:rsid w:val="003D6845"/>
    <w:rsid w:val="003E0F59"/>
    <w:rsid w:val="003E25D8"/>
    <w:rsid w:val="003F2B80"/>
    <w:rsid w:val="003F3D36"/>
    <w:rsid w:val="00403EEC"/>
    <w:rsid w:val="004141E5"/>
    <w:rsid w:val="00416D5D"/>
    <w:rsid w:val="00421010"/>
    <w:rsid w:val="00432581"/>
    <w:rsid w:val="00436D2E"/>
    <w:rsid w:val="0045250A"/>
    <w:rsid w:val="00457249"/>
    <w:rsid w:val="004600C5"/>
    <w:rsid w:val="00462A40"/>
    <w:rsid w:val="00462BA4"/>
    <w:rsid w:val="0047323F"/>
    <w:rsid w:val="0047744C"/>
    <w:rsid w:val="00492ED7"/>
    <w:rsid w:val="00495680"/>
    <w:rsid w:val="004A1615"/>
    <w:rsid w:val="004A535F"/>
    <w:rsid w:val="004B408D"/>
    <w:rsid w:val="004B6732"/>
    <w:rsid w:val="004B68E9"/>
    <w:rsid w:val="004C4313"/>
    <w:rsid w:val="004C4A30"/>
    <w:rsid w:val="004C7B2E"/>
    <w:rsid w:val="004D2F20"/>
    <w:rsid w:val="004D302B"/>
    <w:rsid w:val="004D3ABC"/>
    <w:rsid w:val="004F6A07"/>
    <w:rsid w:val="004F73D9"/>
    <w:rsid w:val="005028EE"/>
    <w:rsid w:val="00503332"/>
    <w:rsid w:val="00513264"/>
    <w:rsid w:val="005201DA"/>
    <w:rsid w:val="00523E17"/>
    <w:rsid w:val="00537354"/>
    <w:rsid w:val="00545D12"/>
    <w:rsid w:val="00551F1D"/>
    <w:rsid w:val="0056427D"/>
    <w:rsid w:val="005644C6"/>
    <w:rsid w:val="005764A7"/>
    <w:rsid w:val="005A17D6"/>
    <w:rsid w:val="005A260D"/>
    <w:rsid w:val="005A56D6"/>
    <w:rsid w:val="005C051E"/>
    <w:rsid w:val="005C1DCB"/>
    <w:rsid w:val="005C208C"/>
    <w:rsid w:val="005C7A08"/>
    <w:rsid w:val="005C7E03"/>
    <w:rsid w:val="005D499F"/>
    <w:rsid w:val="005E53C0"/>
    <w:rsid w:val="005E56A7"/>
    <w:rsid w:val="005E66FE"/>
    <w:rsid w:val="005E6A6E"/>
    <w:rsid w:val="005F366F"/>
    <w:rsid w:val="0060537E"/>
    <w:rsid w:val="0060716C"/>
    <w:rsid w:val="00621456"/>
    <w:rsid w:val="00635CA5"/>
    <w:rsid w:val="006405AD"/>
    <w:rsid w:val="00640682"/>
    <w:rsid w:val="00642593"/>
    <w:rsid w:val="00642787"/>
    <w:rsid w:val="006435AE"/>
    <w:rsid w:val="00650698"/>
    <w:rsid w:val="006520EF"/>
    <w:rsid w:val="0066005F"/>
    <w:rsid w:val="006637D5"/>
    <w:rsid w:val="006A5F5E"/>
    <w:rsid w:val="006A79BB"/>
    <w:rsid w:val="006B068E"/>
    <w:rsid w:val="006B1F2D"/>
    <w:rsid w:val="006B2988"/>
    <w:rsid w:val="006B40EA"/>
    <w:rsid w:val="006B458E"/>
    <w:rsid w:val="006C14E0"/>
    <w:rsid w:val="006C6FF5"/>
    <w:rsid w:val="006C7CEA"/>
    <w:rsid w:val="006E40EF"/>
    <w:rsid w:val="00702984"/>
    <w:rsid w:val="0070753A"/>
    <w:rsid w:val="00711D61"/>
    <w:rsid w:val="00722B30"/>
    <w:rsid w:val="00730837"/>
    <w:rsid w:val="007309D6"/>
    <w:rsid w:val="00734C4E"/>
    <w:rsid w:val="0074104C"/>
    <w:rsid w:val="007451EE"/>
    <w:rsid w:val="00753155"/>
    <w:rsid w:val="007554E0"/>
    <w:rsid w:val="00755E33"/>
    <w:rsid w:val="00760956"/>
    <w:rsid w:val="0076768C"/>
    <w:rsid w:val="00772D65"/>
    <w:rsid w:val="00772EE4"/>
    <w:rsid w:val="0077408D"/>
    <w:rsid w:val="00781573"/>
    <w:rsid w:val="00787141"/>
    <w:rsid w:val="00797B7F"/>
    <w:rsid w:val="00797F2A"/>
    <w:rsid w:val="007A0E8D"/>
    <w:rsid w:val="007A3698"/>
    <w:rsid w:val="007A39D4"/>
    <w:rsid w:val="007B227A"/>
    <w:rsid w:val="007B27D6"/>
    <w:rsid w:val="007B71ED"/>
    <w:rsid w:val="007C42DC"/>
    <w:rsid w:val="007D3D1B"/>
    <w:rsid w:val="007D6F45"/>
    <w:rsid w:val="007E2195"/>
    <w:rsid w:val="007F7B7A"/>
    <w:rsid w:val="00802A99"/>
    <w:rsid w:val="00803896"/>
    <w:rsid w:val="008055C1"/>
    <w:rsid w:val="00810A25"/>
    <w:rsid w:val="0081535E"/>
    <w:rsid w:val="00827703"/>
    <w:rsid w:val="00831B6F"/>
    <w:rsid w:val="00832C18"/>
    <w:rsid w:val="00836A08"/>
    <w:rsid w:val="0084000D"/>
    <w:rsid w:val="008413E2"/>
    <w:rsid w:val="00846639"/>
    <w:rsid w:val="008868F3"/>
    <w:rsid w:val="00896B7E"/>
    <w:rsid w:val="008A218C"/>
    <w:rsid w:val="008A2621"/>
    <w:rsid w:val="008A5E62"/>
    <w:rsid w:val="008C2A57"/>
    <w:rsid w:val="008C7837"/>
    <w:rsid w:val="008D3BB7"/>
    <w:rsid w:val="008E5231"/>
    <w:rsid w:val="008E7B5E"/>
    <w:rsid w:val="008F1F77"/>
    <w:rsid w:val="008F3F20"/>
    <w:rsid w:val="008F4932"/>
    <w:rsid w:val="008F585F"/>
    <w:rsid w:val="008F632E"/>
    <w:rsid w:val="008F7663"/>
    <w:rsid w:val="00903CBF"/>
    <w:rsid w:val="009050A3"/>
    <w:rsid w:val="009055F6"/>
    <w:rsid w:val="00911272"/>
    <w:rsid w:val="00917B5A"/>
    <w:rsid w:val="00930B36"/>
    <w:rsid w:val="00936F58"/>
    <w:rsid w:val="009467C4"/>
    <w:rsid w:val="00950393"/>
    <w:rsid w:val="00955255"/>
    <w:rsid w:val="0095585B"/>
    <w:rsid w:val="00956314"/>
    <w:rsid w:val="009630EF"/>
    <w:rsid w:val="00963F4E"/>
    <w:rsid w:val="00975202"/>
    <w:rsid w:val="0098383C"/>
    <w:rsid w:val="00984D42"/>
    <w:rsid w:val="0098528C"/>
    <w:rsid w:val="009922E3"/>
    <w:rsid w:val="009B6590"/>
    <w:rsid w:val="009C04FA"/>
    <w:rsid w:val="009D1041"/>
    <w:rsid w:val="009D3A8A"/>
    <w:rsid w:val="009D3E00"/>
    <w:rsid w:val="009E2A8C"/>
    <w:rsid w:val="009E45EB"/>
    <w:rsid w:val="00A168D9"/>
    <w:rsid w:val="00A208C0"/>
    <w:rsid w:val="00A2516E"/>
    <w:rsid w:val="00A252B1"/>
    <w:rsid w:val="00A44095"/>
    <w:rsid w:val="00A47B47"/>
    <w:rsid w:val="00A514CC"/>
    <w:rsid w:val="00A535F9"/>
    <w:rsid w:val="00A5370E"/>
    <w:rsid w:val="00A6454E"/>
    <w:rsid w:val="00A71AE0"/>
    <w:rsid w:val="00A71B85"/>
    <w:rsid w:val="00A746EF"/>
    <w:rsid w:val="00A811BF"/>
    <w:rsid w:val="00A831F6"/>
    <w:rsid w:val="00A8629B"/>
    <w:rsid w:val="00A913CD"/>
    <w:rsid w:val="00A915E5"/>
    <w:rsid w:val="00A9299D"/>
    <w:rsid w:val="00A93DAA"/>
    <w:rsid w:val="00A96254"/>
    <w:rsid w:val="00AA03A5"/>
    <w:rsid w:val="00AA1B5D"/>
    <w:rsid w:val="00AB13EC"/>
    <w:rsid w:val="00AB3CC6"/>
    <w:rsid w:val="00AB5349"/>
    <w:rsid w:val="00AC2770"/>
    <w:rsid w:val="00AC4350"/>
    <w:rsid w:val="00AD2E7F"/>
    <w:rsid w:val="00AD55A0"/>
    <w:rsid w:val="00AD66FC"/>
    <w:rsid w:val="00AE1114"/>
    <w:rsid w:val="00AE3D71"/>
    <w:rsid w:val="00AE5EC5"/>
    <w:rsid w:val="00AF2566"/>
    <w:rsid w:val="00B01435"/>
    <w:rsid w:val="00B203B5"/>
    <w:rsid w:val="00B24865"/>
    <w:rsid w:val="00B34D75"/>
    <w:rsid w:val="00B76709"/>
    <w:rsid w:val="00B86617"/>
    <w:rsid w:val="00B86AC6"/>
    <w:rsid w:val="00B90674"/>
    <w:rsid w:val="00B917EE"/>
    <w:rsid w:val="00B96E98"/>
    <w:rsid w:val="00BA7B26"/>
    <w:rsid w:val="00BB1D0B"/>
    <w:rsid w:val="00BB5CE6"/>
    <w:rsid w:val="00BB5F71"/>
    <w:rsid w:val="00BC07B3"/>
    <w:rsid w:val="00BC677A"/>
    <w:rsid w:val="00BD541A"/>
    <w:rsid w:val="00BE39FC"/>
    <w:rsid w:val="00BE53A8"/>
    <w:rsid w:val="00BF1363"/>
    <w:rsid w:val="00BF5712"/>
    <w:rsid w:val="00BF6473"/>
    <w:rsid w:val="00C227A5"/>
    <w:rsid w:val="00C244FB"/>
    <w:rsid w:val="00C3742F"/>
    <w:rsid w:val="00C40E05"/>
    <w:rsid w:val="00C46C2A"/>
    <w:rsid w:val="00C53AFB"/>
    <w:rsid w:val="00C5690C"/>
    <w:rsid w:val="00C63D0F"/>
    <w:rsid w:val="00C67F64"/>
    <w:rsid w:val="00C82956"/>
    <w:rsid w:val="00C83D57"/>
    <w:rsid w:val="00C85122"/>
    <w:rsid w:val="00C92B74"/>
    <w:rsid w:val="00C94FDB"/>
    <w:rsid w:val="00C96004"/>
    <w:rsid w:val="00CA3A38"/>
    <w:rsid w:val="00CB14B6"/>
    <w:rsid w:val="00CB526E"/>
    <w:rsid w:val="00CC36DB"/>
    <w:rsid w:val="00CC710B"/>
    <w:rsid w:val="00CE02CA"/>
    <w:rsid w:val="00CE267C"/>
    <w:rsid w:val="00CF0EE4"/>
    <w:rsid w:val="00CF1016"/>
    <w:rsid w:val="00CF3F54"/>
    <w:rsid w:val="00CF671B"/>
    <w:rsid w:val="00D06326"/>
    <w:rsid w:val="00D07767"/>
    <w:rsid w:val="00D07816"/>
    <w:rsid w:val="00D20716"/>
    <w:rsid w:val="00D26B6F"/>
    <w:rsid w:val="00D43834"/>
    <w:rsid w:val="00D45096"/>
    <w:rsid w:val="00D45564"/>
    <w:rsid w:val="00D64B0F"/>
    <w:rsid w:val="00D67FFA"/>
    <w:rsid w:val="00D81F1B"/>
    <w:rsid w:val="00D82D43"/>
    <w:rsid w:val="00DA42AA"/>
    <w:rsid w:val="00DB71A5"/>
    <w:rsid w:val="00DC7EA6"/>
    <w:rsid w:val="00DD3CF0"/>
    <w:rsid w:val="00DE5ED9"/>
    <w:rsid w:val="00DF088A"/>
    <w:rsid w:val="00E06023"/>
    <w:rsid w:val="00E137BD"/>
    <w:rsid w:val="00E143ED"/>
    <w:rsid w:val="00E236C0"/>
    <w:rsid w:val="00E23F88"/>
    <w:rsid w:val="00E25FB5"/>
    <w:rsid w:val="00E4235D"/>
    <w:rsid w:val="00E476E1"/>
    <w:rsid w:val="00E5434D"/>
    <w:rsid w:val="00E76754"/>
    <w:rsid w:val="00E76BC1"/>
    <w:rsid w:val="00E77EA5"/>
    <w:rsid w:val="00E8481D"/>
    <w:rsid w:val="00E87B21"/>
    <w:rsid w:val="00EB5731"/>
    <w:rsid w:val="00EB632D"/>
    <w:rsid w:val="00EB66BF"/>
    <w:rsid w:val="00EB694B"/>
    <w:rsid w:val="00EC014A"/>
    <w:rsid w:val="00EC1E6D"/>
    <w:rsid w:val="00EC4233"/>
    <w:rsid w:val="00ED39CE"/>
    <w:rsid w:val="00ED6656"/>
    <w:rsid w:val="00EE3E5F"/>
    <w:rsid w:val="00EE4D35"/>
    <w:rsid w:val="00EF5FA3"/>
    <w:rsid w:val="00EF72D5"/>
    <w:rsid w:val="00F12A98"/>
    <w:rsid w:val="00F24CC7"/>
    <w:rsid w:val="00F31619"/>
    <w:rsid w:val="00F34EAF"/>
    <w:rsid w:val="00F53833"/>
    <w:rsid w:val="00F54802"/>
    <w:rsid w:val="00F56D2D"/>
    <w:rsid w:val="00F61F87"/>
    <w:rsid w:val="00F666A9"/>
    <w:rsid w:val="00F670DD"/>
    <w:rsid w:val="00F76C94"/>
    <w:rsid w:val="00F82910"/>
    <w:rsid w:val="00F9610F"/>
    <w:rsid w:val="00F96EF2"/>
    <w:rsid w:val="00FA3B02"/>
    <w:rsid w:val="00FA5944"/>
    <w:rsid w:val="00FB5F02"/>
    <w:rsid w:val="00FC1707"/>
    <w:rsid w:val="00FC30F3"/>
    <w:rsid w:val="00FC5082"/>
    <w:rsid w:val="00FC5E90"/>
    <w:rsid w:val="00FC65DB"/>
    <w:rsid w:val="00FE380A"/>
    <w:rsid w:val="00FE3B2D"/>
    <w:rsid w:val="00FF18F3"/>
    <w:rsid w:val="00FF27C8"/>
    <w:rsid w:val="00FF5D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3A46"/>
  <w15:docId w15:val="{349E71E6-353D-48DA-8440-BCA4338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85"/>
    <w:pPr>
      <w:spacing w:line="256" w:lineRule="auto"/>
    </w:pPr>
  </w:style>
  <w:style w:type="paragraph" w:styleId="Heading1">
    <w:name w:val="heading 1"/>
    <w:basedOn w:val="Normal"/>
    <w:next w:val="Normal"/>
    <w:link w:val="Heading1Char"/>
    <w:qFormat/>
    <w:rsid w:val="00D07816"/>
    <w:pPr>
      <w:keepNext/>
      <w:numPr>
        <w:numId w:val="14"/>
      </w:numPr>
      <w:spacing w:after="220" w:line="480" w:lineRule="atLeast"/>
      <w:outlineLvl w:val="0"/>
    </w:pPr>
    <w:rPr>
      <w:rFonts w:ascii="Arial" w:eastAsia="Times New Roman" w:hAnsi="Arial" w:cs="Arial"/>
      <w:bCs/>
      <w:color w:val="00457D"/>
      <w:kern w:val="32"/>
      <w:sz w:val="44"/>
      <w:szCs w:val="32"/>
    </w:rPr>
  </w:style>
  <w:style w:type="paragraph" w:styleId="Heading2">
    <w:name w:val="heading 2"/>
    <w:basedOn w:val="Normal"/>
    <w:next w:val="Normal"/>
    <w:link w:val="Heading2Char"/>
    <w:semiHidden/>
    <w:unhideWhenUsed/>
    <w:qFormat/>
    <w:rsid w:val="00D07816"/>
    <w:pPr>
      <w:keepNext/>
      <w:numPr>
        <w:ilvl w:val="1"/>
        <w:numId w:val="14"/>
      </w:numPr>
      <w:spacing w:line="400" w:lineRule="atLeast"/>
      <w:outlineLvl w:val="1"/>
    </w:pPr>
    <w:rPr>
      <w:rFonts w:ascii="Arial" w:eastAsia="Times New Roman" w:hAnsi="Arial" w:cs="Arial"/>
      <w:bCs/>
      <w:iCs/>
      <w:color w:val="00B5DD"/>
      <w:sz w:val="32"/>
      <w:szCs w:val="28"/>
    </w:rPr>
  </w:style>
  <w:style w:type="paragraph" w:styleId="Heading3">
    <w:name w:val="heading 3"/>
    <w:basedOn w:val="Heading2"/>
    <w:next w:val="Normal"/>
    <w:link w:val="Heading3Char"/>
    <w:semiHidden/>
    <w:unhideWhenUsed/>
    <w:qFormat/>
    <w:rsid w:val="00D07816"/>
    <w:pPr>
      <w:numPr>
        <w:ilvl w:val="2"/>
      </w:numPr>
      <w:spacing w:after="150" w:line="300" w:lineRule="atLeast"/>
      <w:outlineLvl w:val="2"/>
    </w:pPr>
    <w:rPr>
      <w:bCs w:val="0"/>
      <w:sz w:val="26"/>
      <w:szCs w:val="26"/>
    </w:rPr>
  </w:style>
  <w:style w:type="paragraph" w:styleId="Heading4">
    <w:name w:val="heading 4"/>
    <w:basedOn w:val="Normal"/>
    <w:next w:val="Normal"/>
    <w:link w:val="Heading4Char"/>
    <w:semiHidden/>
    <w:unhideWhenUsed/>
    <w:qFormat/>
    <w:rsid w:val="00D07816"/>
    <w:pPr>
      <w:keepNext/>
      <w:numPr>
        <w:ilvl w:val="3"/>
        <w:numId w:val="14"/>
      </w:numPr>
      <w:spacing w:before="240" w:after="60" w:line="260" w:lineRule="atLeast"/>
      <w:outlineLvl w:val="3"/>
    </w:pPr>
    <w:rPr>
      <w:rFonts w:ascii="Arial" w:eastAsia="Times New Roman" w:hAnsi="Arial" w:cs="Times New Roman"/>
      <w:bCs/>
      <w:color w:val="00B5DD"/>
      <w:szCs w:val="28"/>
    </w:rPr>
  </w:style>
  <w:style w:type="paragraph" w:styleId="Heading5">
    <w:name w:val="heading 5"/>
    <w:basedOn w:val="Normal"/>
    <w:next w:val="Normal"/>
    <w:link w:val="Heading5Char"/>
    <w:semiHidden/>
    <w:unhideWhenUsed/>
    <w:qFormat/>
    <w:rsid w:val="00D07816"/>
    <w:pPr>
      <w:numPr>
        <w:ilvl w:val="4"/>
        <w:numId w:val="14"/>
      </w:numPr>
      <w:spacing w:before="240" w:after="60" w:line="260" w:lineRule="atLeast"/>
      <w:outlineLvl w:val="4"/>
    </w:pPr>
    <w:rPr>
      <w:rFonts w:ascii="Arial" w:eastAsia="Times New Roman" w:hAnsi="Arial" w:cs="Times New Roman"/>
      <w:b/>
      <w:bCs/>
      <w:i/>
      <w:iCs/>
      <w:sz w:val="26"/>
      <w:szCs w:val="26"/>
    </w:rPr>
  </w:style>
  <w:style w:type="paragraph" w:styleId="Heading6">
    <w:name w:val="heading 6"/>
    <w:basedOn w:val="Normal"/>
    <w:next w:val="Normal"/>
    <w:link w:val="Heading6Char"/>
    <w:semiHidden/>
    <w:unhideWhenUsed/>
    <w:qFormat/>
    <w:rsid w:val="00D07816"/>
    <w:pPr>
      <w:numPr>
        <w:ilvl w:val="5"/>
        <w:numId w:val="14"/>
      </w:numPr>
      <w:spacing w:before="240" w:after="60" w:line="260" w:lineRule="atLeast"/>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D07816"/>
    <w:pPr>
      <w:numPr>
        <w:ilvl w:val="6"/>
        <w:numId w:val="14"/>
      </w:numPr>
      <w:spacing w:before="240" w:after="60" w:line="260" w:lineRule="atLeast"/>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unhideWhenUsed/>
    <w:qFormat/>
    <w:rsid w:val="00D07816"/>
    <w:pPr>
      <w:numPr>
        <w:ilvl w:val="7"/>
        <w:numId w:val="14"/>
      </w:numPr>
      <w:spacing w:before="240" w:after="60" w:line="260" w:lineRule="atLeast"/>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unhideWhenUsed/>
    <w:qFormat/>
    <w:rsid w:val="00D07816"/>
    <w:pPr>
      <w:numPr>
        <w:ilvl w:val="8"/>
        <w:numId w:val="14"/>
      </w:numPr>
      <w:spacing w:before="240" w:after="60" w:line="26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A71B85"/>
    <w:pPr>
      <w:spacing w:after="200" w:line="240" w:lineRule="auto"/>
    </w:pPr>
    <w:rPr>
      <w:sz w:val="20"/>
      <w:szCs w:val="20"/>
    </w:rPr>
  </w:style>
  <w:style w:type="character" w:customStyle="1" w:styleId="CommentTextChar">
    <w:name w:val="Comment Text Char"/>
    <w:basedOn w:val="DefaultParagraphFont"/>
    <w:link w:val="CommentText"/>
    <w:semiHidden/>
    <w:rsid w:val="00A71B85"/>
    <w:rPr>
      <w:sz w:val="20"/>
      <w:szCs w:val="20"/>
    </w:rPr>
  </w:style>
  <w:style w:type="character" w:customStyle="1" w:styleId="ListParagraphChar">
    <w:name w:val="List Paragraph Char"/>
    <w:basedOn w:val="DefaultParagraphFont"/>
    <w:link w:val="ListParagraph"/>
    <w:uiPriority w:val="34"/>
    <w:locked/>
    <w:rsid w:val="00A71B85"/>
  </w:style>
  <w:style w:type="paragraph" w:styleId="ListParagraph">
    <w:name w:val="List Paragraph"/>
    <w:basedOn w:val="Normal"/>
    <w:link w:val="ListParagraphChar"/>
    <w:uiPriority w:val="34"/>
    <w:qFormat/>
    <w:rsid w:val="00A71B85"/>
    <w:pPr>
      <w:ind w:left="720"/>
      <w:contextualSpacing/>
    </w:pPr>
  </w:style>
  <w:style w:type="character" w:styleId="CommentReference">
    <w:name w:val="annotation reference"/>
    <w:basedOn w:val="DefaultParagraphFont"/>
    <w:uiPriority w:val="99"/>
    <w:semiHidden/>
    <w:unhideWhenUsed/>
    <w:rsid w:val="00A71B85"/>
    <w:rPr>
      <w:sz w:val="16"/>
      <w:szCs w:val="16"/>
    </w:rPr>
  </w:style>
  <w:style w:type="table" w:styleId="TableGrid">
    <w:name w:val="Table Grid"/>
    <w:basedOn w:val="TableNormal"/>
    <w:rsid w:val="00A71B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6314"/>
    <w:pPr>
      <w:spacing w:after="0" w:line="240" w:lineRule="auto"/>
    </w:pPr>
  </w:style>
  <w:style w:type="paragraph" w:styleId="NormalWeb">
    <w:name w:val="Normal (Web)"/>
    <w:basedOn w:val="Normal"/>
    <w:rsid w:val="0060537E"/>
    <w:pPr>
      <w:spacing w:after="0" w:line="240" w:lineRule="auto"/>
    </w:pPr>
    <w:rPr>
      <w:rFonts w:ascii="Arial" w:eastAsia="Times New Roman" w:hAnsi="Arial" w:cs="Times New Roman"/>
      <w:color w:val="808080"/>
      <w:sz w:val="20"/>
      <w:szCs w:val="20"/>
      <w:lang w:eastAsia="en-GB"/>
    </w:rPr>
  </w:style>
  <w:style w:type="character" w:customStyle="1" w:styleId="Heading1Char">
    <w:name w:val="Heading 1 Char"/>
    <w:basedOn w:val="DefaultParagraphFont"/>
    <w:link w:val="Heading1"/>
    <w:rsid w:val="00D07816"/>
    <w:rPr>
      <w:rFonts w:ascii="Arial" w:eastAsia="Times New Roman" w:hAnsi="Arial" w:cs="Arial"/>
      <w:bCs/>
      <w:color w:val="00457D"/>
      <w:kern w:val="32"/>
      <w:sz w:val="44"/>
      <w:szCs w:val="32"/>
    </w:rPr>
  </w:style>
  <w:style w:type="character" w:customStyle="1" w:styleId="Heading2Char">
    <w:name w:val="Heading 2 Char"/>
    <w:basedOn w:val="DefaultParagraphFont"/>
    <w:link w:val="Heading2"/>
    <w:semiHidden/>
    <w:rsid w:val="00D07816"/>
    <w:rPr>
      <w:rFonts w:ascii="Arial" w:eastAsia="Times New Roman" w:hAnsi="Arial" w:cs="Arial"/>
      <w:bCs/>
      <w:iCs/>
      <w:color w:val="00B5DD"/>
      <w:sz w:val="32"/>
      <w:szCs w:val="28"/>
    </w:rPr>
  </w:style>
  <w:style w:type="character" w:customStyle="1" w:styleId="Heading3Char">
    <w:name w:val="Heading 3 Char"/>
    <w:basedOn w:val="DefaultParagraphFont"/>
    <w:link w:val="Heading3"/>
    <w:semiHidden/>
    <w:rsid w:val="00D07816"/>
    <w:rPr>
      <w:rFonts w:ascii="Arial" w:eastAsia="Times New Roman" w:hAnsi="Arial" w:cs="Arial"/>
      <w:iCs/>
      <w:color w:val="00B5DD"/>
      <w:sz w:val="26"/>
      <w:szCs w:val="26"/>
    </w:rPr>
  </w:style>
  <w:style w:type="character" w:customStyle="1" w:styleId="Heading4Char">
    <w:name w:val="Heading 4 Char"/>
    <w:basedOn w:val="DefaultParagraphFont"/>
    <w:link w:val="Heading4"/>
    <w:semiHidden/>
    <w:rsid w:val="00D07816"/>
    <w:rPr>
      <w:rFonts w:ascii="Arial" w:eastAsia="Times New Roman" w:hAnsi="Arial" w:cs="Times New Roman"/>
      <w:bCs/>
      <w:color w:val="00B5DD"/>
      <w:szCs w:val="28"/>
    </w:rPr>
  </w:style>
  <w:style w:type="character" w:customStyle="1" w:styleId="Heading5Char">
    <w:name w:val="Heading 5 Char"/>
    <w:basedOn w:val="DefaultParagraphFont"/>
    <w:link w:val="Heading5"/>
    <w:semiHidden/>
    <w:rsid w:val="00D07816"/>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D0781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D07816"/>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D07816"/>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D0781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D3CF0"/>
    <w:pPr>
      <w:spacing w:after="160"/>
    </w:pPr>
    <w:rPr>
      <w:b/>
      <w:bCs/>
    </w:rPr>
  </w:style>
  <w:style w:type="character" w:customStyle="1" w:styleId="CommentSubjectChar">
    <w:name w:val="Comment Subject Char"/>
    <w:basedOn w:val="CommentTextChar"/>
    <w:link w:val="CommentSubject"/>
    <w:uiPriority w:val="99"/>
    <w:semiHidden/>
    <w:rsid w:val="00DD3CF0"/>
    <w:rPr>
      <w:b/>
      <w:bCs/>
      <w:sz w:val="20"/>
      <w:szCs w:val="20"/>
    </w:rPr>
  </w:style>
  <w:style w:type="paragraph" w:styleId="Revision">
    <w:name w:val="Revision"/>
    <w:hidden/>
    <w:uiPriority w:val="99"/>
    <w:semiHidden/>
    <w:rsid w:val="00A96254"/>
    <w:pPr>
      <w:spacing w:after="0" w:line="240" w:lineRule="auto"/>
    </w:pPr>
  </w:style>
  <w:style w:type="paragraph" w:styleId="BalloonText">
    <w:name w:val="Balloon Text"/>
    <w:basedOn w:val="Normal"/>
    <w:link w:val="BalloonTextChar"/>
    <w:uiPriority w:val="99"/>
    <w:semiHidden/>
    <w:unhideWhenUsed/>
    <w:rsid w:val="00E2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8"/>
    <w:rPr>
      <w:rFonts w:ascii="Tahoma" w:hAnsi="Tahoma" w:cs="Tahoma"/>
      <w:sz w:val="16"/>
      <w:szCs w:val="16"/>
    </w:rPr>
  </w:style>
  <w:style w:type="paragraph" w:styleId="Header">
    <w:name w:val="header"/>
    <w:basedOn w:val="Normal"/>
    <w:link w:val="HeaderChar"/>
    <w:uiPriority w:val="99"/>
    <w:unhideWhenUsed/>
    <w:rsid w:val="0008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25"/>
  </w:style>
  <w:style w:type="paragraph" w:styleId="Footer">
    <w:name w:val="footer"/>
    <w:basedOn w:val="Normal"/>
    <w:link w:val="FooterChar"/>
    <w:uiPriority w:val="99"/>
    <w:unhideWhenUsed/>
    <w:rsid w:val="0008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25"/>
  </w:style>
  <w:style w:type="paragraph" w:styleId="FootnoteText">
    <w:name w:val="footnote text"/>
    <w:basedOn w:val="Normal"/>
    <w:link w:val="FootnoteTextChar"/>
    <w:uiPriority w:val="99"/>
    <w:unhideWhenUsed/>
    <w:rsid w:val="00BE53A8"/>
    <w:pPr>
      <w:spacing w:after="0" w:line="240" w:lineRule="auto"/>
    </w:pPr>
    <w:rPr>
      <w:sz w:val="20"/>
      <w:szCs w:val="20"/>
    </w:rPr>
  </w:style>
  <w:style w:type="character" w:customStyle="1" w:styleId="FootnoteTextChar">
    <w:name w:val="Footnote Text Char"/>
    <w:basedOn w:val="DefaultParagraphFont"/>
    <w:link w:val="FootnoteText"/>
    <w:uiPriority w:val="99"/>
    <w:rsid w:val="00BE53A8"/>
    <w:rPr>
      <w:sz w:val="20"/>
      <w:szCs w:val="20"/>
    </w:rPr>
  </w:style>
  <w:style w:type="character" w:styleId="FootnoteReference">
    <w:name w:val="footnote reference"/>
    <w:basedOn w:val="DefaultParagraphFont"/>
    <w:uiPriority w:val="99"/>
    <w:semiHidden/>
    <w:unhideWhenUsed/>
    <w:rsid w:val="00BE53A8"/>
    <w:rPr>
      <w:vertAlign w:val="superscript"/>
    </w:rPr>
  </w:style>
  <w:style w:type="character" w:styleId="Hyperlink">
    <w:name w:val="Hyperlink"/>
    <w:basedOn w:val="DefaultParagraphFont"/>
    <w:uiPriority w:val="99"/>
    <w:semiHidden/>
    <w:unhideWhenUsed/>
    <w:rsid w:val="00503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434">
      <w:bodyDiv w:val="1"/>
      <w:marLeft w:val="0"/>
      <w:marRight w:val="0"/>
      <w:marTop w:val="0"/>
      <w:marBottom w:val="0"/>
      <w:divBdr>
        <w:top w:val="none" w:sz="0" w:space="0" w:color="auto"/>
        <w:left w:val="none" w:sz="0" w:space="0" w:color="auto"/>
        <w:bottom w:val="none" w:sz="0" w:space="0" w:color="auto"/>
        <w:right w:val="none" w:sz="0" w:space="0" w:color="auto"/>
      </w:divBdr>
    </w:div>
    <w:div w:id="1026951929">
      <w:bodyDiv w:val="1"/>
      <w:marLeft w:val="0"/>
      <w:marRight w:val="0"/>
      <w:marTop w:val="0"/>
      <w:marBottom w:val="0"/>
      <w:divBdr>
        <w:top w:val="none" w:sz="0" w:space="0" w:color="auto"/>
        <w:left w:val="none" w:sz="0" w:space="0" w:color="auto"/>
        <w:bottom w:val="none" w:sz="0" w:space="0" w:color="auto"/>
        <w:right w:val="none" w:sz="0" w:space="0" w:color="auto"/>
      </w:divBdr>
    </w:div>
    <w:div w:id="17804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23276/DUKES_2021_Chapters_1_to_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Proportion of sustainable investments and objectives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13D1-460F-A63D-A90179ED43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3F-4EFB-B7D6-3C5F09368C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3F-4EFB-B7D6-3C5F09368C3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3F-4EFB-B7D6-3C5F09368C39}"/>
              </c:ext>
            </c:extLst>
          </c:dPt>
          <c:dLbls>
            <c:delete val="1"/>
          </c:dLbls>
          <c:cat>
            <c:strRef>
              <c:f>Sheet1!$A$2:$A$5</c:f>
              <c:strCache>
                <c:ptCount val="1"/>
                <c:pt idx="0">
                  <c:v>Environmental</c:v>
                </c:pt>
              </c:strCache>
            </c:strRef>
          </c:cat>
          <c:val>
            <c:numRef>
              <c:f>Sheet1!$B$2:$B$5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0-13D1-460F-A63D-A90179ED43B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2512321376494602"/>
          <c:y val="0.47112985876765406"/>
          <c:w val="0.16098789734616506"/>
          <c:h val="7.341457317835267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4C9AE83360814EBD0030DDA91AD378" ma:contentTypeVersion="12" ma:contentTypeDescription="Create a new document." ma:contentTypeScope="" ma:versionID="83aadc788038967c10695489788a633b">
  <xsd:schema xmlns:xsd="http://www.w3.org/2001/XMLSchema" xmlns:xs="http://www.w3.org/2001/XMLSchema" xmlns:p="http://schemas.microsoft.com/office/2006/metadata/properties" xmlns:ns2="fb9b28aa-94e2-4211-9adc-789441ef8c4b" xmlns:ns3="d7a30cb0-8d1e-4897-bc68-4ce7844f52bf" targetNamespace="http://schemas.microsoft.com/office/2006/metadata/properties" ma:root="true" ma:fieldsID="6a63970259328005f35c88b1c79be7b2" ns2:_="" ns3:_="">
    <xsd:import namespace="fb9b28aa-94e2-4211-9adc-789441ef8c4b"/>
    <xsd:import namespace="d7a30cb0-8d1e-4897-bc68-4ce7844f52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28aa-94e2-4211-9adc-789441ef8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30cb0-8d1e-4897-bc68-4ce7844f52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3E83B-55C4-4719-A6FF-6CFAF680937B}">
  <ds:schemaRefs>
    <ds:schemaRef ds:uri="http://schemas.openxmlformats.org/officeDocument/2006/bibliography"/>
  </ds:schemaRefs>
</ds:datastoreItem>
</file>

<file path=customXml/itemProps2.xml><?xml version="1.0" encoding="utf-8"?>
<ds:datastoreItem xmlns:ds="http://schemas.openxmlformats.org/officeDocument/2006/customXml" ds:itemID="{DBFC655B-7F6B-4017-BA95-8DCFE43FA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b28aa-94e2-4211-9adc-789441ef8c4b"/>
    <ds:schemaRef ds:uri="d7a30cb0-8d1e-4897-bc68-4ce7844f5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8D436-BA9A-44DF-BA90-E5ECD1A2F3B7}">
  <ds:schemaRefs>
    <ds:schemaRef ds:uri="http://schemas.microsoft.com/sharepoint/v3/contenttype/forms"/>
  </ds:schemaRefs>
</ds:datastoreItem>
</file>

<file path=customXml/itemProps4.xml><?xml version="1.0" encoding="utf-8"?>
<ds:datastoreItem xmlns:ds="http://schemas.openxmlformats.org/officeDocument/2006/customXml" ds:itemID="{6C998F2C-1203-4AFF-9FDD-519284808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Lawson</dc:creator>
  <cp:keywords/>
  <cp:lastModifiedBy>Mark Lawson</cp:lastModifiedBy>
  <cp:revision>5</cp:revision>
  <dcterms:created xsi:type="dcterms:W3CDTF">2021-11-01T12:18:00Z</dcterms:created>
  <dcterms:modified xsi:type="dcterms:W3CDTF">2021-11-02T10:29:00Z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0x010100944C9AE83360814EBD0030DDA91AD378</vt:lpwstr>
  </property>
</Properties>
</file>